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E5EDF" w:rsidRPr="00D219AA" w:rsidRDefault="008E5EDF" w:rsidP="00CD4882">
      <w:pPr>
        <w:spacing w:before="120" w:after="120" w:line="276" w:lineRule="auto"/>
        <w:rPr>
          <w:rFonts w:ascii="Noto Sans" w:hAnsi="Noto Sans" w:cs="Noto Sans"/>
        </w:rPr>
      </w:pPr>
    </w:p>
    <w:p w:rsidR="008E5EDF" w:rsidRPr="00D219AA" w:rsidRDefault="008E5EDF" w:rsidP="00CD4882">
      <w:pPr>
        <w:spacing w:before="120" w:after="120" w:line="276" w:lineRule="auto"/>
        <w:rPr>
          <w:rFonts w:ascii="Noto Sans" w:hAnsi="Noto Sans" w:cs="Noto Sans"/>
        </w:rPr>
      </w:pPr>
    </w:p>
    <w:p w:rsidR="008E5EDF" w:rsidRPr="00D219AA" w:rsidRDefault="008E5EDF" w:rsidP="00CD4882">
      <w:pPr>
        <w:spacing w:before="120" w:after="120" w:line="276" w:lineRule="auto"/>
        <w:rPr>
          <w:rFonts w:ascii="Noto Sans" w:hAnsi="Noto Sans" w:cs="Noto Sans"/>
        </w:rPr>
      </w:pPr>
    </w:p>
    <w:p w:rsidR="008E5EDF" w:rsidRPr="00D219AA" w:rsidRDefault="008E5EDF" w:rsidP="00CD4882">
      <w:pPr>
        <w:spacing w:before="120" w:after="120" w:line="276" w:lineRule="auto"/>
        <w:rPr>
          <w:rFonts w:ascii="Noto Sans" w:hAnsi="Noto Sans" w:cs="Noto Sans"/>
        </w:rPr>
      </w:pPr>
    </w:p>
    <w:p w:rsidR="00C63792" w:rsidRPr="002231D5" w:rsidRDefault="008E5EDF" w:rsidP="00CD4882">
      <w:pPr>
        <w:spacing w:before="120" w:after="120" w:line="276" w:lineRule="auto"/>
        <w:jc w:val="center"/>
        <w:rPr>
          <w:rFonts w:ascii="Noto Sans" w:hAnsi="Noto Sans" w:cs="Noto Sans"/>
          <w:b/>
          <w:color w:val="621333"/>
          <w:sz w:val="48"/>
          <w:szCs w:val="28"/>
        </w:rPr>
      </w:pPr>
      <w:r w:rsidRPr="002231D5">
        <w:rPr>
          <w:rFonts w:ascii="Noto Sans" w:hAnsi="Noto Sans" w:cs="Noto Sans"/>
          <w:b/>
          <w:color w:val="621333"/>
          <w:sz w:val="48"/>
          <w:szCs w:val="28"/>
        </w:rPr>
        <w:t>Modelo para la integración del</w:t>
      </w:r>
      <w:r w:rsidR="009C7E62" w:rsidRPr="002231D5">
        <w:rPr>
          <w:rFonts w:ascii="Noto Sans" w:hAnsi="Noto Sans" w:cs="Noto Sans"/>
          <w:b/>
          <w:color w:val="621333"/>
          <w:sz w:val="48"/>
          <w:szCs w:val="28"/>
        </w:rPr>
        <w:t xml:space="preserve"> Instrumento de Diseño </w:t>
      </w:r>
      <w:r w:rsidR="00C63792" w:rsidRPr="002231D5">
        <w:rPr>
          <w:rFonts w:ascii="Noto Sans" w:hAnsi="Noto Sans" w:cs="Noto Sans"/>
          <w:b/>
          <w:color w:val="621333"/>
          <w:sz w:val="48"/>
          <w:szCs w:val="28"/>
        </w:rPr>
        <w:t>tipo:</w:t>
      </w:r>
    </w:p>
    <w:p w:rsidR="008E5EDF" w:rsidRPr="002231D5" w:rsidRDefault="009C7E62" w:rsidP="00CD4882">
      <w:pPr>
        <w:spacing w:before="120" w:after="120" w:line="276" w:lineRule="auto"/>
        <w:jc w:val="center"/>
        <w:rPr>
          <w:rFonts w:ascii="Noto Sans" w:hAnsi="Noto Sans" w:cs="Noto Sans"/>
          <w:b/>
          <w:color w:val="621333"/>
          <w:sz w:val="48"/>
          <w:szCs w:val="28"/>
        </w:rPr>
      </w:pPr>
      <w:r w:rsidRPr="002231D5">
        <w:rPr>
          <w:rFonts w:ascii="Noto Sans" w:hAnsi="Noto Sans" w:cs="Noto Sans"/>
          <w:b/>
          <w:color w:val="621333"/>
          <w:sz w:val="48"/>
          <w:szCs w:val="28"/>
        </w:rPr>
        <w:t>“Diag</w:t>
      </w:r>
      <w:r w:rsidR="008E5EDF" w:rsidRPr="002231D5">
        <w:rPr>
          <w:rFonts w:ascii="Noto Sans" w:hAnsi="Noto Sans" w:cs="Noto Sans"/>
          <w:b/>
          <w:color w:val="621333"/>
          <w:sz w:val="48"/>
          <w:szCs w:val="28"/>
        </w:rPr>
        <w:t xml:space="preserve">nóstico </w:t>
      </w:r>
      <w:r w:rsidRPr="002231D5">
        <w:rPr>
          <w:rFonts w:ascii="Noto Sans" w:hAnsi="Noto Sans" w:cs="Noto Sans"/>
          <w:b/>
          <w:color w:val="621333"/>
          <w:sz w:val="48"/>
          <w:szCs w:val="28"/>
        </w:rPr>
        <w:t>Ampliado</w:t>
      </w:r>
      <w:r w:rsidR="000D6CFF">
        <w:rPr>
          <w:rFonts w:ascii="Noto Sans" w:hAnsi="Noto Sans" w:cs="Noto Sans"/>
          <w:b/>
          <w:color w:val="621333"/>
          <w:sz w:val="48"/>
          <w:szCs w:val="28"/>
        </w:rPr>
        <w:t xml:space="preserve"> del Programa presupuesta</w:t>
      </w:r>
      <w:r w:rsidR="00BC5027">
        <w:rPr>
          <w:rFonts w:ascii="Noto Sans" w:hAnsi="Noto Sans" w:cs="Noto Sans"/>
          <w:b/>
          <w:color w:val="621333"/>
          <w:sz w:val="48"/>
          <w:szCs w:val="28"/>
        </w:rPr>
        <w:t>rio</w:t>
      </w:r>
      <w:r w:rsidR="000D6CFF">
        <w:rPr>
          <w:rFonts w:ascii="Noto Sans" w:hAnsi="Noto Sans" w:cs="Noto Sans"/>
          <w:b/>
          <w:color w:val="621333"/>
          <w:sz w:val="48"/>
          <w:szCs w:val="28"/>
        </w:rPr>
        <w:t xml:space="preserve"> E-031</w:t>
      </w:r>
      <w:r w:rsidR="00BC5027">
        <w:rPr>
          <w:rFonts w:ascii="Noto Sans" w:hAnsi="Noto Sans" w:cs="Noto Sans"/>
          <w:b/>
          <w:color w:val="621333"/>
          <w:sz w:val="48"/>
          <w:szCs w:val="28"/>
        </w:rPr>
        <w:t xml:space="preserve"> – Servicios de atención a la salud</w:t>
      </w:r>
      <w:r w:rsidRPr="002231D5">
        <w:rPr>
          <w:rFonts w:ascii="Noto Sans" w:hAnsi="Noto Sans" w:cs="Noto Sans"/>
          <w:b/>
          <w:color w:val="621333"/>
          <w:sz w:val="48"/>
          <w:szCs w:val="28"/>
        </w:rPr>
        <w:t>”</w:t>
      </w:r>
    </w:p>
    <w:p w:rsidR="005F7F83" w:rsidRPr="00D219AA" w:rsidRDefault="005F7F83" w:rsidP="00CD4882">
      <w:pPr>
        <w:spacing w:before="120" w:after="120" w:line="276" w:lineRule="auto"/>
        <w:rPr>
          <w:rFonts w:ascii="Noto Sans" w:hAnsi="Noto Sans" w:cs="Noto Sans"/>
        </w:rPr>
      </w:pPr>
    </w:p>
    <w:p w:rsidR="002F16A5" w:rsidRPr="00D219AA" w:rsidRDefault="002F16A5" w:rsidP="00CD4882">
      <w:pPr>
        <w:spacing w:before="120" w:after="120" w:line="276" w:lineRule="auto"/>
        <w:rPr>
          <w:rFonts w:ascii="Noto Sans" w:hAnsi="Noto Sans" w:cs="Noto Sans"/>
        </w:rPr>
      </w:pPr>
    </w:p>
    <w:p w:rsidR="002F16A5" w:rsidRPr="00D219AA" w:rsidRDefault="002F16A5" w:rsidP="00CD4882">
      <w:pPr>
        <w:spacing w:before="120" w:after="120" w:line="276" w:lineRule="auto"/>
        <w:rPr>
          <w:rFonts w:ascii="Noto Sans" w:hAnsi="Noto Sans" w:cs="Noto Sans"/>
        </w:rPr>
      </w:pPr>
    </w:p>
    <w:p w:rsidR="002F16A5" w:rsidRPr="00D219AA" w:rsidRDefault="002F16A5" w:rsidP="00CD4882">
      <w:pPr>
        <w:spacing w:before="120" w:after="120" w:line="276" w:lineRule="auto"/>
        <w:rPr>
          <w:rFonts w:ascii="Noto Sans" w:hAnsi="Noto Sans" w:cs="Noto Sans"/>
        </w:rPr>
      </w:pPr>
    </w:p>
    <w:p w:rsidR="002F16A5" w:rsidRPr="00D219AA" w:rsidRDefault="002F16A5" w:rsidP="00CD4882">
      <w:pPr>
        <w:spacing w:before="120" w:after="120" w:line="276" w:lineRule="auto"/>
        <w:rPr>
          <w:rFonts w:ascii="Noto Sans" w:hAnsi="Noto Sans" w:cs="Noto Sans"/>
        </w:rPr>
      </w:pPr>
    </w:p>
    <w:p w:rsidR="002F16A5" w:rsidRPr="00D219AA" w:rsidRDefault="002F16A5" w:rsidP="00CD4882">
      <w:pPr>
        <w:spacing w:before="120" w:after="120" w:line="276" w:lineRule="auto"/>
        <w:rPr>
          <w:rFonts w:ascii="Noto Sans" w:hAnsi="Noto Sans" w:cs="Noto Sans"/>
        </w:rPr>
      </w:pPr>
    </w:p>
    <w:p w:rsidR="002F16A5" w:rsidRPr="00D219AA" w:rsidRDefault="002F16A5" w:rsidP="00CD4882">
      <w:pPr>
        <w:spacing w:before="120" w:after="120" w:line="276" w:lineRule="auto"/>
        <w:rPr>
          <w:rFonts w:ascii="Noto Sans" w:hAnsi="Noto Sans" w:cs="Noto Sans"/>
        </w:rPr>
      </w:pPr>
    </w:p>
    <w:p w:rsidR="002F16A5" w:rsidRPr="00D219AA" w:rsidRDefault="002F16A5" w:rsidP="00CD4882">
      <w:pPr>
        <w:spacing w:before="120" w:after="120" w:line="276" w:lineRule="auto"/>
        <w:rPr>
          <w:rFonts w:ascii="Noto Sans" w:hAnsi="Noto Sans" w:cs="Noto Sans"/>
        </w:rPr>
      </w:pPr>
    </w:p>
    <w:p w:rsidR="00E17FE6" w:rsidRPr="00D219AA" w:rsidRDefault="00E17FE6" w:rsidP="00CD4882">
      <w:pPr>
        <w:spacing w:before="120" w:after="120" w:line="276" w:lineRule="auto"/>
        <w:rPr>
          <w:rFonts w:ascii="Noto Sans" w:hAnsi="Noto Sans" w:cs="Noto Sans"/>
        </w:rPr>
      </w:pPr>
    </w:p>
    <w:p w:rsidR="00E17FE6" w:rsidRPr="00D219AA" w:rsidRDefault="00E17FE6" w:rsidP="00CD4882">
      <w:pPr>
        <w:spacing w:before="120" w:after="120" w:line="276" w:lineRule="auto"/>
        <w:rPr>
          <w:rFonts w:ascii="Noto Sans" w:hAnsi="Noto Sans" w:cs="Noto Sans"/>
        </w:rPr>
      </w:pPr>
    </w:p>
    <w:p w:rsidR="00E17FE6" w:rsidRPr="00D219AA" w:rsidRDefault="00E17FE6" w:rsidP="00CD4882">
      <w:pPr>
        <w:spacing w:before="120" w:after="120" w:line="276" w:lineRule="auto"/>
        <w:rPr>
          <w:rFonts w:ascii="Noto Sans" w:hAnsi="Noto Sans" w:cs="Noto Sans"/>
        </w:rPr>
      </w:pPr>
    </w:p>
    <w:p w:rsidR="00E17FE6" w:rsidRDefault="00E17FE6" w:rsidP="00CD4882">
      <w:pPr>
        <w:spacing w:before="120" w:after="120" w:line="276" w:lineRule="auto"/>
        <w:rPr>
          <w:rFonts w:ascii="Noto Sans" w:hAnsi="Noto Sans" w:cs="Noto Sans"/>
        </w:rPr>
      </w:pPr>
    </w:p>
    <w:p w:rsidR="00150467" w:rsidRPr="00461CCB" w:rsidRDefault="00150467" w:rsidP="00461CCB">
      <w:pPr>
        <w:spacing w:before="120" w:after="120" w:line="276" w:lineRule="auto"/>
        <w:jc w:val="both"/>
        <w:rPr>
          <w:rFonts w:ascii="Noto Sans" w:hAnsi="Noto Sans" w:cs="Noto Sans"/>
          <w:sz w:val="20"/>
        </w:rPr>
      </w:pPr>
      <w:r w:rsidRPr="00461CCB">
        <w:rPr>
          <w:rFonts w:ascii="Noto Sans" w:hAnsi="Noto Sans" w:cs="Noto Sans"/>
          <w:sz w:val="20"/>
        </w:rPr>
        <w:br w:type="page"/>
      </w:r>
    </w:p>
    <w:p w:rsidR="006F390A" w:rsidRPr="000D6CFF" w:rsidRDefault="000D6CFF" w:rsidP="006F390A">
      <w:pPr>
        <w:spacing w:before="120" w:after="120" w:line="276" w:lineRule="auto"/>
        <w:rPr>
          <w:rFonts w:ascii="Noto Sans" w:hAnsi="Noto Sans" w:cs="Noto Sans"/>
          <w:b/>
          <w:color w:val="1E5B4F"/>
        </w:rPr>
      </w:pPr>
      <w:r>
        <w:rPr>
          <w:rFonts w:ascii="Noto Sans" w:hAnsi="Noto Sans" w:cs="Noto Sans"/>
          <w:b/>
          <w:color w:val="1E5B4F"/>
        </w:rPr>
        <w:lastRenderedPageBreak/>
        <w:t>Contenido</w:t>
      </w:r>
    </w:p>
    <w:p w:rsidR="005423A0" w:rsidRDefault="005423A0" w:rsidP="006F390A">
      <w:pPr>
        <w:spacing w:before="120" w:after="120" w:line="276" w:lineRule="auto"/>
        <w:rPr>
          <w:rFonts w:ascii="Noto Sans" w:hAnsi="Noto Sans" w:cs="Noto Sans"/>
          <w:bCs/>
          <w:i/>
          <w:iCs/>
          <w:sz w:val="22"/>
          <w:szCs w:val="22"/>
        </w:rPr>
      </w:pPr>
    </w:p>
    <w:p w:rsidR="00E80481" w:rsidRPr="00E80481" w:rsidRDefault="006F390A">
      <w:pPr>
        <w:pStyle w:val="TDC1"/>
        <w:tabs>
          <w:tab w:val="right" w:leader="dot" w:pos="8828"/>
        </w:tabs>
        <w:rPr>
          <w:rFonts w:cstheme="minorBidi"/>
          <w:b w:val="0"/>
          <w:bCs w:val="0"/>
          <w:caps w:val="0"/>
          <w:noProof/>
          <w:sz w:val="22"/>
          <w:szCs w:val="22"/>
        </w:rPr>
      </w:pPr>
      <w:r w:rsidRPr="00E80481">
        <w:rPr>
          <w:rFonts w:ascii="Noto Sans" w:hAnsi="Noto Sans" w:cs="Noto Sans"/>
          <w:b w:val="0"/>
          <w:szCs w:val="22"/>
        </w:rPr>
        <w:fldChar w:fldCharType="begin"/>
      </w:r>
      <w:r w:rsidRPr="00E80481">
        <w:rPr>
          <w:rFonts w:ascii="Noto Sans" w:hAnsi="Noto Sans" w:cs="Noto Sans"/>
          <w:b w:val="0"/>
          <w:szCs w:val="22"/>
        </w:rPr>
        <w:instrText xml:space="preserve"> TOC \o "1-3" \h \z \u </w:instrText>
      </w:r>
      <w:r w:rsidRPr="00E80481">
        <w:rPr>
          <w:rFonts w:ascii="Noto Sans" w:hAnsi="Noto Sans" w:cs="Noto Sans"/>
          <w:b w:val="0"/>
          <w:szCs w:val="22"/>
        </w:rPr>
        <w:fldChar w:fldCharType="separate"/>
      </w:r>
      <w:hyperlink w:anchor="_Toc201830218" w:history="1">
        <w:r w:rsidR="00E80481" w:rsidRPr="00E80481">
          <w:rPr>
            <w:rStyle w:val="Hipervnculo"/>
            <w:rFonts w:ascii="Noto Sans" w:hAnsi="Noto Sans" w:cs="Noto Sans"/>
            <w:b w:val="0"/>
            <w:noProof/>
          </w:rPr>
          <w:t>Datos de identificación del Programa presupuestario (Pp)</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_Toc201830218 \h </w:instrText>
        </w:r>
        <w:r w:rsidR="00E80481" w:rsidRPr="00E80481">
          <w:rPr>
            <w:b w:val="0"/>
            <w:noProof/>
            <w:webHidden/>
          </w:rPr>
        </w:r>
        <w:r w:rsidR="00E80481" w:rsidRPr="00E80481">
          <w:rPr>
            <w:b w:val="0"/>
            <w:noProof/>
            <w:webHidden/>
          </w:rPr>
          <w:fldChar w:fldCharType="separate"/>
        </w:r>
        <w:r w:rsidR="009F65B1">
          <w:rPr>
            <w:b w:val="0"/>
            <w:noProof/>
            <w:webHidden/>
          </w:rPr>
          <w:t>3</w:t>
        </w:r>
        <w:r w:rsidR="00E80481" w:rsidRPr="00E80481">
          <w:rPr>
            <w:b w:val="0"/>
            <w:noProof/>
            <w:webHidden/>
          </w:rPr>
          <w:fldChar w:fldCharType="end"/>
        </w:r>
      </w:hyperlink>
    </w:p>
    <w:p w:rsidR="00E80481" w:rsidRPr="00E80481" w:rsidRDefault="00217656">
      <w:pPr>
        <w:pStyle w:val="TDC1"/>
        <w:tabs>
          <w:tab w:val="left" w:pos="480"/>
          <w:tab w:val="right" w:leader="dot" w:pos="8828"/>
        </w:tabs>
        <w:rPr>
          <w:rFonts w:cstheme="minorBidi"/>
          <w:b w:val="0"/>
          <w:bCs w:val="0"/>
          <w:caps w:val="0"/>
          <w:noProof/>
          <w:sz w:val="22"/>
          <w:szCs w:val="22"/>
        </w:rPr>
      </w:pPr>
      <w:hyperlink w:anchor="_Toc201830219" w:history="1">
        <w:r w:rsidR="00E80481" w:rsidRPr="00E80481">
          <w:rPr>
            <w:rStyle w:val="Hipervnculo"/>
            <w:rFonts w:ascii="Noto Sans" w:hAnsi="Noto Sans" w:cs="Noto Sans"/>
            <w:b w:val="0"/>
            <w:noProof/>
          </w:rPr>
          <w:t>1.</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Introducción</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_Toc201830219 \h </w:instrText>
        </w:r>
        <w:r w:rsidR="00E80481" w:rsidRPr="00E80481">
          <w:rPr>
            <w:b w:val="0"/>
            <w:noProof/>
            <w:webHidden/>
          </w:rPr>
        </w:r>
        <w:r w:rsidR="00E80481" w:rsidRPr="00E80481">
          <w:rPr>
            <w:b w:val="0"/>
            <w:noProof/>
            <w:webHidden/>
          </w:rPr>
          <w:fldChar w:fldCharType="separate"/>
        </w:r>
        <w:r w:rsidR="009F65B1">
          <w:rPr>
            <w:b w:val="0"/>
            <w:noProof/>
            <w:webHidden/>
          </w:rPr>
          <w:t>3</w:t>
        </w:r>
        <w:r w:rsidR="00E80481" w:rsidRPr="00E80481">
          <w:rPr>
            <w:b w:val="0"/>
            <w:noProof/>
            <w:webHidden/>
          </w:rPr>
          <w:fldChar w:fldCharType="end"/>
        </w:r>
      </w:hyperlink>
    </w:p>
    <w:p w:rsidR="00E80481" w:rsidRPr="00E80481" w:rsidRDefault="00217656">
      <w:pPr>
        <w:pStyle w:val="TDC1"/>
        <w:tabs>
          <w:tab w:val="left" w:pos="480"/>
          <w:tab w:val="right" w:leader="dot" w:pos="8828"/>
        </w:tabs>
        <w:rPr>
          <w:rFonts w:cstheme="minorBidi"/>
          <w:b w:val="0"/>
          <w:bCs w:val="0"/>
          <w:caps w:val="0"/>
          <w:noProof/>
          <w:sz w:val="22"/>
          <w:szCs w:val="22"/>
        </w:rPr>
      </w:pPr>
      <w:hyperlink w:anchor="_Toc201830220" w:history="1">
        <w:r w:rsidR="00E80481" w:rsidRPr="00E80481">
          <w:rPr>
            <w:rStyle w:val="Hipervnculo"/>
            <w:rFonts w:ascii="Noto Sans" w:hAnsi="Noto Sans" w:cs="Noto Sans"/>
            <w:b w:val="0"/>
            <w:noProof/>
          </w:rPr>
          <w:t>2.</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Definición y análisis del problema</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_Toc201830220 \h </w:instrText>
        </w:r>
        <w:r w:rsidR="00E80481" w:rsidRPr="00E80481">
          <w:rPr>
            <w:b w:val="0"/>
            <w:noProof/>
            <w:webHidden/>
          </w:rPr>
        </w:r>
        <w:r w:rsidR="00E80481" w:rsidRPr="00E80481">
          <w:rPr>
            <w:b w:val="0"/>
            <w:noProof/>
            <w:webHidden/>
          </w:rPr>
          <w:fldChar w:fldCharType="separate"/>
        </w:r>
        <w:r w:rsidR="009F65B1">
          <w:rPr>
            <w:b w:val="0"/>
            <w:noProof/>
            <w:webHidden/>
          </w:rPr>
          <w:t>20</w:t>
        </w:r>
        <w:r w:rsidR="00E80481" w:rsidRPr="00E80481">
          <w:rPr>
            <w:b w:val="0"/>
            <w:noProof/>
            <w:webHidden/>
          </w:rPr>
          <w:fldChar w:fldCharType="end"/>
        </w:r>
      </w:hyperlink>
    </w:p>
    <w:p w:rsidR="00E80481" w:rsidRPr="00E80481" w:rsidRDefault="00217656">
      <w:pPr>
        <w:pStyle w:val="TDC1"/>
        <w:tabs>
          <w:tab w:val="left" w:pos="480"/>
          <w:tab w:val="right" w:leader="dot" w:pos="8828"/>
        </w:tabs>
        <w:rPr>
          <w:rFonts w:cstheme="minorBidi"/>
          <w:b w:val="0"/>
          <w:bCs w:val="0"/>
          <w:caps w:val="0"/>
          <w:noProof/>
          <w:sz w:val="22"/>
          <w:szCs w:val="22"/>
        </w:rPr>
      </w:pPr>
      <w:hyperlink w:anchor="_Toc201830221" w:history="1">
        <w:r w:rsidR="00E80481" w:rsidRPr="00E80481">
          <w:rPr>
            <w:rStyle w:val="Hipervnculo"/>
            <w:rFonts w:ascii="Noto Sans" w:hAnsi="Noto Sans" w:cs="Noto Sans"/>
            <w:b w:val="0"/>
            <w:noProof/>
          </w:rPr>
          <w:t>3.</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Experiencias de atención</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_Toc201830221 \h </w:instrText>
        </w:r>
        <w:r w:rsidR="00E80481" w:rsidRPr="00E80481">
          <w:rPr>
            <w:b w:val="0"/>
            <w:noProof/>
            <w:webHidden/>
          </w:rPr>
        </w:r>
        <w:r w:rsidR="00E80481" w:rsidRPr="00E80481">
          <w:rPr>
            <w:b w:val="0"/>
            <w:noProof/>
            <w:webHidden/>
          </w:rPr>
          <w:fldChar w:fldCharType="separate"/>
        </w:r>
        <w:r w:rsidR="009F65B1">
          <w:rPr>
            <w:b w:val="0"/>
            <w:noProof/>
            <w:webHidden/>
          </w:rPr>
          <w:t>23</w:t>
        </w:r>
        <w:r w:rsidR="00E80481" w:rsidRPr="00E80481">
          <w:rPr>
            <w:b w:val="0"/>
            <w:noProof/>
            <w:webHidden/>
          </w:rPr>
          <w:fldChar w:fldCharType="end"/>
        </w:r>
      </w:hyperlink>
    </w:p>
    <w:p w:rsidR="00E80481" w:rsidRPr="00E80481" w:rsidRDefault="00217656">
      <w:pPr>
        <w:pStyle w:val="TDC1"/>
        <w:tabs>
          <w:tab w:val="left" w:pos="480"/>
          <w:tab w:val="right" w:leader="dot" w:pos="8828"/>
        </w:tabs>
        <w:rPr>
          <w:rFonts w:cstheme="minorBidi"/>
          <w:b w:val="0"/>
          <w:bCs w:val="0"/>
          <w:caps w:val="0"/>
          <w:noProof/>
          <w:sz w:val="22"/>
          <w:szCs w:val="22"/>
        </w:rPr>
      </w:pPr>
      <w:hyperlink w:anchor="_Toc201830222" w:history="1">
        <w:r w:rsidR="00E80481" w:rsidRPr="00E80481">
          <w:rPr>
            <w:rStyle w:val="Hipervnculo"/>
            <w:rFonts w:ascii="Noto Sans" w:hAnsi="Noto Sans" w:cs="Noto Sans"/>
            <w:b w:val="0"/>
            <w:noProof/>
          </w:rPr>
          <w:t>4.</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Análisis de poblaciones</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_Toc201830222 \h </w:instrText>
        </w:r>
        <w:r w:rsidR="00E80481" w:rsidRPr="00E80481">
          <w:rPr>
            <w:b w:val="0"/>
            <w:noProof/>
            <w:webHidden/>
          </w:rPr>
        </w:r>
        <w:r w:rsidR="00E80481" w:rsidRPr="00E80481">
          <w:rPr>
            <w:b w:val="0"/>
            <w:noProof/>
            <w:webHidden/>
          </w:rPr>
          <w:fldChar w:fldCharType="separate"/>
        </w:r>
        <w:r w:rsidR="009F65B1">
          <w:rPr>
            <w:b w:val="0"/>
            <w:noProof/>
            <w:webHidden/>
          </w:rPr>
          <w:t>27</w:t>
        </w:r>
        <w:r w:rsidR="00E80481" w:rsidRPr="00E80481">
          <w:rPr>
            <w:b w:val="0"/>
            <w:noProof/>
            <w:webHidden/>
          </w:rPr>
          <w:fldChar w:fldCharType="end"/>
        </w:r>
      </w:hyperlink>
    </w:p>
    <w:p w:rsidR="00E80481" w:rsidRPr="00E80481" w:rsidRDefault="00217656">
      <w:pPr>
        <w:pStyle w:val="TDC2"/>
        <w:tabs>
          <w:tab w:val="left" w:pos="960"/>
          <w:tab w:val="right" w:leader="dot" w:pos="8828"/>
        </w:tabs>
        <w:rPr>
          <w:rFonts w:cstheme="minorBidi"/>
          <w:smallCaps w:val="0"/>
          <w:noProof/>
          <w:sz w:val="22"/>
          <w:szCs w:val="22"/>
        </w:rPr>
      </w:pPr>
      <w:hyperlink w:anchor="_Toc201830223" w:history="1">
        <w:r w:rsidR="00E80481" w:rsidRPr="00E80481">
          <w:rPr>
            <w:rStyle w:val="Hipervnculo"/>
            <w:rFonts w:ascii="Noto Sans" w:hAnsi="Noto Sans" w:cs="Noto Sans"/>
            <w:noProof/>
          </w:rPr>
          <w:t>4.1.</w:t>
        </w:r>
        <w:r w:rsidR="00E80481" w:rsidRPr="00E80481">
          <w:rPr>
            <w:rFonts w:cstheme="minorBidi"/>
            <w:smallCaps w:val="0"/>
            <w:noProof/>
            <w:sz w:val="22"/>
            <w:szCs w:val="22"/>
          </w:rPr>
          <w:tab/>
        </w:r>
        <w:r w:rsidR="00E80481" w:rsidRPr="00E80481">
          <w:rPr>
            <w:rStyle w:val="Hipervnculo"/>
            <w:rFonts w:ascii="Noto Sans" w:hAnsi="Noto Sans" w:cs="Noto Sans"/>
            <w:noProof/>
          </w:rPr>
          <w:t>Población potencial</w:t>
        </w:r>
        <w:r w:rsidR="00E80481" w:rsidRPr="00E80481">
          <w:rPr>
            <w:noProof/>
            <w:webHidden/>
          </w:rPr>
          <w:tab/>
        </w:r>
        <w:bookmarkStart w:id="0" w:name="_GoBack"/>
        <w:bookmarkEnd w:id="0"/>
        <w:r w:rsidR="00E80481" w:rsidRPr="00E80481">
          <w:rPr>
            <w:noProof/>
            <w:webHidden/>
          </w:rPr>
          <w:fldChar w:fldCharType="begin"/>
        </w:r>
        <w:r w:rsidR="00E80481" w:rsidRPr="00E80481">
          <w:rPr>
            <w:noProof/>
            <w:webHidden/>
          </w:rPr>
          <w:instrText xml:space="preserve"> PAGEREF _Toc201830223 \h </w:instrText>
        </w:r>
        <w:r w:rsidR="00E80481" w:rsidRPr="00E80481">
          <w:rPr>
            <w:noProof/>
            <w:webHidden/>
          </w:rPr>
        </w:r>
        <w:r w:rsidR="00E80481" w:rsidRPr="00E80481">
          <w:rPr>
            <w:noProof/>
            <w:webHidden/>
          </w:rPr>
          <w:fldChar w:fldCharType="separate"/>
        </w:r>
        <w:r w:rsidR="009F65B1">
          <w:rPr>
            <w:noProof/>
            <w:webHidden/>
          </w:rPr>
          <w:t>27</w:t>
        </w:r>
        <w:r w:rsidR="00E80481" w:rsidRPr="00E80481">
          <w:rPr>
            <w:noProof/>
            <w:webHidden/>
          </w:rPr>
          <w:fldChar w:fldCharType="end"/>
        </w:r>
      </w:hyperlink>
    </w:p>
    <w:p w:rsidR="00E80481" w:rsidRPr="00E80481" w:rsidRDefault="00217656">
      <w:pPr>
        <w:pStyle w:val="TDC2"/>
        <w:tabs>
          <w:tab w:val="left" w:pos="960"/>
          <w:tab w:val="right" w:leader="dot" w:pos="8828"/>
        </w:tabs>
        <w:rPr>
          <w:rFonts w:cstheme="minorBidi"/>
          <w:smallCaps w:val="0"/>
          <w:noProof/>
          <w:sz w:val="22"/>
          <w:szCs w:val="22"/>
        </w:rPr>
      </w:pPr>
      <w:hyperlink w:anchor="_Toc201830224" w:history="1">
        <w:r w:rsidR="00E80481" w:rsidRPr="00E80481">
          <w:rPr>
            <w:rStyle w:val="Hipervnculo"/>
            <w:rFonts w:ascii="Noto Sans" w:hAnsi="Noto Sans" w:cs="Noto Sans"/>
            <w:noProof/>
          </w:rPr>
          <w:t>4.2.</w:t>
        </w:r>
        <w:r w:rsidR="00E80481" w:rsidRPr="00E80481">
          <w:rPr>
            <w:rFonts w:cstheme="minorBidi"/>
            <w:smallCaps w:val="0"/>
            <w:noProof/>
            <w:sz w:val="22"/>
            <w:szCs w:val="22"/>
          </w:rPr>
          <w:tab/>
        </w:r>
        <w:r w:rsidR="00E80481" w:rsidRPr="00E80481">
          <w:rPr>
            <w:rStyle w:val="Hipervnculo"/>
            <w:rFonts w:ascii="Noto Sans" w:hAnsi="Noto Sans" w:cs="Noto Sans"/>
            <w:noProof/>
          </w:rPr>
          <w:t>Población objetivo</w:t>
        </w:r>
        <w:r w:rsidR="00E80481" w:rsidRPr="00E80481">
          <w:rPr>
            <w:noProof/>
            <w:webHidden/>
          </w:rPr>
          <w:tab/>
        </w:r>
        <w:r w:rsidR="00E80481" w:rsidRPr="00E80481">
          <w:rPr>
            <w:noProof/>
            <w:webHidden/>
          </w:rPr>
          <w:fldChar w:fldCharType="begin"/>
        </w:r>
        <w:r w:rsidR="00E80481" w:rsidRPr="00E80481">
          <w:rPr>
            <w:noProof/>
            <w:webHidden/>
          </w:rPr>
          <w:instrText xml:space="preserve"> PAGEREF _Toc201830224 \h </w:instrText>
        </w:r>
        <w:r w:rsidR="00E80481" w:rsidRPr="00E80481">
          <w:rPr>
            <w:noProof/>
            <w:webHidden/>
          </w:rPr>
        </w:r>
        <w:r w:rsidR="00E80481" w:rsidRPr="00E80481">
          <w:rPr>
            <w:noProof/>
            <w:webHidden/>
          </w:rPr>
          <w:fldChar w:fldCharType="separate"/>
        </w:r>
        <w:r w:rsidR="009F65B1">
          <w:rPr>
            <w:noProof/>
            <w:webHidden/>
          </w:rPr>
          <w:t>27</w:t>
        </w:r>
        <w:r w:rsidR="00E80481" w:rsidRPr="00E80481">
          <w:rPr>
            <w:noProof/>
            <w:webHidden/>
          </w:rPr>
          <w:fldChar w:fldCharType="end"/>
        </w:r>
      </w:hyperlink>
    </w:p>
    <w:p w:rsidR="00E80481" w:rsidRPr="00E80481" w:rsidRDefault="00217656">
      <w:pPr>
        <w:pStyle w:val="TDC2"/>
        <w:tabs>
          <w:tab w:val="left" w:pos="960"/>
          <w:tab w:val="right" w:leader="dot" w:pos="8828"/>
        </w:tabs>
        <w:rPr>
          <w:rFonts w:cstheme="minorBidi"/>
          <w:smallCaps w:val="0"/>
          <w:noProof/>
          <w:sz w:val="22"/>
          <w:szCs w:val="22"/>
        </w:rPr>
      </w:pPr>
      <w:hyperlink w:anchor="_Toc201830225" w:history="1">
        <w:r w:rsidR="00E80481" w:rsidRPr="00E80481">
          <w:rPr>
            <w:rStyle w:val="Hipervnculo"/>
            <w:rFonts w:ascii="Noto Sans" w:hAnsi="Noto Sans" w:cs="Noto Sans"/>
            <w:noProof/>
          </w:rPr>
          <w:t>4.3.</w:t>
        </w:r>
        <w:r w:rsidR="00E80481" w:rsidRPr="00E80481">
          <w:rPr>
            <w:rFonts w:cstheme="minorBidi"/>
            <w:smallCaps w:val="0"/>
            <w:noProof/>
            <w:sz w:val="22"/>
            <w:szCs w:val="22"/>
          </w:rPr>
          <w:tab/>
        </w:r>
        <w:r w:rsidR="00E80481" w:rsidRPr="00E80481">
          <w:rPr>
            <w:rStyle w:val="Hipervnculo"/>
            <w:rFonts w:ascii="Noto Sans" w:hAnsi="Noto Sans" w:cs="Noto Sans"/>
            <w:noProof/>
          </w:rPr>
          <w:t>Fuente de información y frecuencia de actualización</w:t>
        </w:r>
        <w:r w:rsidR="00E80481" w:rsidRPr="00E80481">
          <w:rPr>
            <w:noProof/>
            <w:webHidden/>
          </w:rPr>
          <w:tab/>
        </w:r>
        <w:r w:rsidR="00E80481" w:rsidRPr="00E80481">
          <w:rPr>
            <w:noProof/>
            <w:webHidden/>
          </w:rPr>
          <w:fldChar w:fldCharType="begin"/>
        </w:r>
        <w:r w:rsidR="00E80481" w:rsidRPr="00E80481">
          <w:rPr>
            <w:noProof/>
            <w:webHidden/>
          </w:rPr>
          <w:instrText xml:space="preserve"> PAGEREF _Toc201830225 \h </w:instrText>
        </w:r>
        <w:r w:rsidR="00E80481" w:rsidRPr="00E80481">
          <w:rPr>
            <w:noProof/>
            <w:webHidden/>
          </w:rPr>
        </w:r>
        <w:r w:rsidR="00E80481" w:rsidRPr="00E80481">
          <w:rPr>
            <w:noProof/>
            <w:webHidden/>
          </w:rPr>
          <w:fldChar w:fldCharType="separate"/>
        </w:r>
        <w:r w:rsidR="009F65B1">
          <w:rPr>
            <w:noProof/>
            <w:webHidden/>
          </w:rPr>
          <w:t>27</w:t>
        </w:r>
        <w:r w:rsidR="00E80481" w:rsidRPr="00E80481">
          <w:rPr>
            <w:noProof/>
            <w:webHidden/>
          </w:rPr>
          <w:fldChar w:fldCharType="end"/>
        </w:r>
      </w:hyperlink>
    </w:p>
    <w:p w:rsidR="00E80481" w:rsidRPr="00E80481" w:rsidRDefault="00217656">
      <w:pPr>
        <w:pStyle w:val="TDC1"/>
        <w:tabs>
          <w:tab w:val="left" w:pos="480"/>
          <w:tab w:val="right" w:leader="dot" w:pos="8828"/>
        </w:tabs>
        <w:rPr>
          <w:rFonts w:cstheme="minorBidi"/>
          <w:b w:val="0"/>
          <w:bCs w:val="0"/>
          <w:caps w:val="0"/>
          <w:noProof/>
          <w:sz w:val="22"/>
          <w:szCs w:val="22"/>
        </w:rPr>
      </w:pPr>
      <w:hyperlink w:anchor="_Toc201830226" w:history="1">
        <w:r w:rsidR="00E80481" w:rsidRPr="00E80481">
          <w:rPr>
            <w:rStyle w:val="Hipervnculo"/>
            <w:rFonts w:ascii="Noto Sans" w:hAnsi="Noto Sans" w:cs="Noto Sans"/>
            <w:b w:val="0"/>
            <w:noProof/>
          </w:rPr>
          <w:t>5.</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Árbol del problema</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_Toc201830226 \h </w:instrText>
        </w:r>
        <w:r w:rsidR="00E80481" w:rsidRPr="00E80481">
          <w:rPr>
            <w:b w:val="0"/>
            <w:noProof/>
            <w:webHidden/>
          </w:rPr>
        </w:r>
        <w:r w:rsidR="00E80481" w:rsidRPr="00E80481">
          <w:rPr>
            <w:b w:val="0"/>
            <w:noProof/>
            <w:webHidden/>
          </w:rPr>
          <w:fldChar w:fldCharType="separate"/>
        </w:r>
        <w:r w:rsidR="009F65B1">
          <w:rPr>
            <w:b w:val="0"/>
            <w:noProof/>
            <w:webHidden/>
          </w:rPr>
          <w:t>27</w:t>
        </w:r>
        <w:r w:rsidR="00E80481" w:rsidRPr="00E80481">
          <w:rPr>
            <w:b w:val="0"/>
            <w:noProof/>
            <w:webHidden/>
          </w:rPr>
          <w:fldChar w:fldCharType="end"/>
        </w:r>
      </w:hyperlink>
    </w:p>
    <w:p w:rsidR="00E80481" w:rsidRPr="00E80481" w:rsidRDefault="00217656">
      <w:pPr>
        <w:pStyle w:val="TDC1"/>
        <w:tabs>
          <w:tab w:val="left" w:pos="480"/>
          <w:tab w:val="right" w:leader="dot" w:pos="8828"/>
        </w:tabs>
        <w:rPr>
          <w:rFonts w:cstheme="minorBidi"/>
          <w:b w:val="0"/>
          <w:bCs w:val="0"/>
          <w:caps w:val="0"/>
          <w:noProof/>
          <w:sz w:val="22"/>
          <w:szCs w:val="22"/>
        </w:rPr>
      </w:pPr>
      <w:hyperlink w:anchor="_Toc201830227" w:history="1">
        <w:r w:rsidR="00E80481" w:rsidRPr="00E80481">
          <w:rPr>
            <w:rStyle w:val="Hipervnculo"/>
            <w:rFonts w:ascii="Noto Sans" w:hAnsi="Noto Sans" w:cs="Noto Sans"/>
            <w:b w:val="0"/>
            <w:noProof/>
          </w:rPr>
          <w:t>6.</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Árbol de objetivos</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_Toc201830227 \h </w:instrText>
        </w:r>
        <w:r w:rsidR="00E80481" w:rsidRPr="00E80481">
          <w:rPr>
            <w:b w:val="0"/>
            <w:noProof/>
            <w:webHidden/>
          </w:rPr>
        </w:r>
        <w:r w:rsidR="00E80481" w:rsidRPr="00E80481">
          <w:rPr>
            <w:b w:val="0"/>
            <w:noProof/>
            <w:webHidden/>
          </w:rPr>
          <w:fldChar w:fldCharType="separate"/>
        </w:r>
        <w:r w:rsidR="009F65B1">
          <w:rPr>
            <w:b w:val="0"/>
            <w:noProof/>
            <w:webHidden/>
          </w:rPr>
          <w:t>29</w:t>
        </w:r>
        <w:r w:rsidR="00E80481" w:rsidRPr="00E80481">
          <w:rPr>
            <w:b w:val="0"/>
            <w:noProof/>
            <w:webHidden/>
          </w:rPr>
          <w:fldChar w:fldCharType="end"/>
        </w:r>
      </w:hyperlink>
    </w:p>
    <w:p w:rsidR="00E80481" w:rsidRPr="00E80481" w:rsidRDefault="00217656">
      <w:pPr>
        <w:pStyle w:val="TDC1"/>
        <w:tabs>
          <w:tab w:val="left" w:pos="720"/>
          <w:tab w:val="right" w:leader="dot" w:pos="8828"/>
        </w:tabs>
        <w:rPr>
          <w:rFonts w:cstheme="minorBidi"/>
          <w:b w:val="0"/>
          <w:bCs w:val="0"/>
          <w:caps w:val="0"/>
          <w:noProof/>
          <w:sz w:val="22"/>
          <w:szCs w:val="22"/>
        </w:rPr>
      </w:pPr>
      <w:hyperlink w:anchor="_Toc201830228" w:history="1">
        <w:r w:rsidR="00E80481" w:rsidRPr="00E80481">
          <w:rPr>
            <w:rStyle w:val="Hipervnculo"/>
            <w:rFonts w:ascii="Noto Sans" w:hAnsi="Noto Sans" w:cs="Noto Sans"/>
            <w:b w:val="0"/>
            <w:noProof/>
          </w:rPr>
          <w:t>6.1.</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Análisis de afectaciones diferenciadas</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_Toc201830228 \h </w:instrText>
        </w:r>
        <w:r w:rsidR="00E80481" w:rsidRPr="00E80481">
          <w:rPr>
            <w:b w:val="0"/>
            <w:noProof/>
            <w:webHidden/>
          </w:rPr>
        </w:r>
        <w:r w:rsidR="00E80481" w:rsidRPr="00E80481">
          <w:rPr>
            <w:b w:val="0"/>
            <w:noProof/>
            <w:webHidden/>
          </w:rPr>
          <w:fldChar w:fldCharType="separate"/>
        </w:r>
        <w:r w:rsidR="009F65B1">
          <w:rPr>
            <w:b w:val="0"/>
            <w:noProof/>
            <w:webHidden/>
          </w:rPr>
          <w:t>30</w:t>
        </w:r>
        <w:r w:rsidR="00E80481" w:rsidRPr="00E80481">
          <w:rPr>
            <w:b w:val="0"/>
            <w:noProof/>
            <w:webHidden/>
          </w:rPr>
          <w:fldChar w:fldCharType="end"/>
        </w:r>
      </w:hyperlink>
    </w:p>
    <w:p w:rsidR="00E80481" w:rsidRPr="00E80481" w:rsidRDefault="00217656">
      <w:pPr>
        <w:pStyle w:val="TDC1"/>
        <w:tabs>
          <w:tab w:val="left" w:pos="480"/>
          <w:tab w:val="right" w:leader="dot" w:pos="8828"/>
        </w:tabs>
        <w:rPr>
          <w:rFonts w:cstheme="minorBidi"/>
          <w:b w:val="0"/>
          <w:bCs w:val="0"/>
          <w:caps w:val="0"/>
          <w:noProof/>
          <w:sz w:val="22"/>
          <w:szCs w:val="22"/>
        </w:rPr>
      </w:pPr>
      <w:hyperlink w:anchor="_Toc201830229" w:history="1">
        <w:r w:rsidR="00E80481" w:rsidRPr="00E80481">
          <w:rPr>
            <w:rStyle w:val="Hipervnculo"/>
            <w:rFonts w:ascii="Noto Sans" w:hAnsi="Noto Sans" w:cs="Noto Sans"/>
            <w:b w:val="0"/>
            <w:noProof/>
          </w:rPr>
          <w:t>7.</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Análisis de alternativas</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_Toc201830229 \h </w:instrText>
        </w:r>
        <w:r w:rsidR="00E80481" w:rsidRPr="00E80481">
          <w:rPr>
            <w:b w:val="0"/>
            <w:noProof/>
            <w:webHidden/>
          </w:rPr>
        </w:r>
        <w:r w:rsidR="00E80481" w:rsidRPr="00E80481">
          <w:rPr>
            <w:b w:val="0"/>
            <w:noProof/>
            <w:webHidden/>
          </w:rPr>
          <w:fldChar w:fldCharType="separate"/>
        </w:r>
        <w:r w:rsidR="009F65B1">
          <w:rPr>
            <w:b w:val="0"/>
            <w:noProof/>
            <w:webHidden/>
          </w:rPr>
          <w:t>32</w:t>
        </w:r>
        <w:r w:rsidR="00E80481" w:rsidRPr="00E80481">
          <w:rPr>
            <w:b w:val="0"/>
            <w:noProof/>
            <w:webHidden/>
          </w:rPr>
          <w:fldChar w:fldCharType="end"/>
        </w:r>
      </w:hyperlink>
    </w:p>
    <w:p w:rsidR="00E80481" w:rsidRPr="00E80481" w:rsidRDefault="00217656">
      <w:pPr>
        <w:pStyle w:val="TDC1"/>
        <w:tabs>
          <w:tab w:val="left" w:pos="480"/>
          <w:tab w:val="right" w:leader="dot" w:pos="8828"/>
        </w:tabs>
        <w:rPr>
          <w:rFonts w:cstheme="minorBidi"/>
          <w:b w:val="0"/>
          <w:bCs w:val="0"/>
          <w:caps w:val="0"/>
          <w:noProof/>
          <w:sz w:val="22"/>
          <w:szCs w:val="22"/>
        </w:rPr>
      </w:pPr>
      <w:hyperlink w:anchor="_Toc201830230" w:history="1">
        <w:r w:rsidR="00E80481" w:rsidRPr="00E80481">
          <w:rPr>
            <w:rStyle w:val="Hipervnculo"/>
            <w:rFonts w:ascii="Noto Sans" w:hAnsi="Noto Sans" w:cs="Noto Sans"/>
            <w:b w:val="0"/>
            <w:noProof/>
          </w:rPr>
          <w:t>8.</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Estructura Analítica del Programa presupuestario (EAPp)</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_Toc201830230 \h </w:instrText>
        </w:r>
        <w:r w:rsidR="00E80481" w:rsidRPr="00E80481">
          <w:rPr>
            <w:b w:val="0"/>
            <w:noProof/>
            <w:webHidden/>
          </w:rPr>
        </w:r>
        <w:r w:rsidR="00E80481" w:rsidRPr="00E80481">
          <w:rPr>
            <w:b w:val="0"/>
            <w:noProof/>
            <w:webHidden/>
          </w:rPr>
          <w:fldChar w:fldCharType="separate"/>
        </w:r>
        <w:r w:rsidR="009F65B1">
          <w:rPr>
            <w:b w:val="0"/>
            <w:noProof/>
            <w:webHidden/>
          </w:rPr>
          <w:t>34</w:t>
        </w:r>
        <w:r w:rsidR="00E80481" w:rsidRPr="00E80481">
          <w:rPr>
            <w:b w:val="0"/>
            <w:noProof/>
            <w:webHidden/>
          </w:rPr>
          <w:fldChar w:fldCharType="end"/>
        </w:r>
      </w:hyperlink>
    </w:p>
    <w:p w:rsidR="00E80481" w:rsidRPr="00E80481" w:rsidRDefault="00217656">
      <w:pPr>
        <w:pStyle w:val="TDC1"/>
        <w:tabs>
          <w:tab w:val="left" w:pos="480"/>
          <w:tab w:val="right" w:leader="dot" w:pos="8828"/>
        </w:tabs>
        <w:rPr>
          <w:rFonts w:cstheme="minorBidi"/>
          <w:b w:val="0"/>
          <w:bCs w:val="0"/>
          <w:caps w:val="0"/>
          <w:noProof/>
          <w:sz w:val="22"/>
          <w:szCs w:val="22"/>
        </w:rPr>
      </w:pPr>
      <w:hyperlink w:anchor="_Toc201830231" w:history="1">
        <w:r w:rsidR="00E80481" w:rsidRPr="00E80481">
          <w:rPr>
            <w:rStyle w:val="Hipervnculo"/>
            <w:rFonts w:ascii="Noto Sans" w:hAnsi="Noto Sans" w:cs="Noto Sans"/>
            <w:b w:val="0"/>
            <w:noProof/>
          </w:rPr>
          <w:t>9.</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Vinculación con la Planeación Nacional del Desarrollo</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_Toc201830231 \h </w:instrText>
        </w:r>
        <w:r w:rsidR="00E80481" w:rsidRPr="00E80481">
          <w:rPr>
            <w:b w:val="0"/>
            <w:noProof/>
            <w:webHidden/>
          </w:rPr>
        </w:r>
        <w:r w:rsidR="00E80481" w:rsidRPr="00E80481">
          <w:rPr>
            <w:b w:val="0"/>
            <w:noProof/>
            <w:webHidden/>
          </w:rPr>
          <w:fldChar w:fldCharType="separate"/>
        </w:r>
        <w:r w:rsidR="009F65B1">
          <w:rPr>
            <w:b w:val="0"/>
            <w:noProof/>
            <w:webHidden/>
          </w:rPr>
          <w:t>35</w:t>
        </w:r>
        <w:r w:rsidR="00E80481" w:rsidRPr="00E80481">
          <w:rPr>
            <w:b w:val="0"/>
            <w:noProof/>
            <w:webHidden/>
          </w:rPr>
          <w:fldChar w:fldCharType="end"/>
        </w:r>
      </w:hyperlink>
    </w:p>
    <w:p w:rsidR="00E80481" w:rsidRPr="00E80481" w:rsidRDefault="00217656">
      <w:pPr>
        <w:pStyle w:val="TDC1"/>
        <w:tabs>
          <w:tab w:val="left" w:pos="720"/>
          <w:tab w:val="right" w:leader="dot" w:pos="8828"/>
        </w:tabs>
        <w:rPr>
          <w:rFonts w:cstheme="minorBidi"/>
          <w:b w:val="0"/>
          <w:bCs w:val="0"/>
          <w:caps w:val="0"/>
          <w:noProof/>
          <w:sz w:val="22"/>
          <w:szCs w:val="22"/>
        </w:rPr>
      </w:pPr>
      <w:hyperlink w:anchor="_Toc201830232" w:history="1">
        <w:r w:rsidR="00E80481" w:rsidRPr="00E80481">
          <w:rPr>
            <w:rStyle w:val="Hipervnculo"/>
            <w:rFonts w:ascii="Noto Sans" w:hAnsi="Noto Sans" w:cs="Noto Sans"/>
            <w:b w:val="0"/>
            <w:noProof/>
          </w:rPr>
          <w:t>10.</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Diseño operativo</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_Toc201830232 \h </w:instrText>
        </w:r>
        <w:r w:rsidR="00E80481" w:rsidRPr="00E80481">
          <w:rPr>
            <w:b w:val="0"/>
            <w:noProof/>
            <w:webHidden/>
          </w:rPr>
        </w:r>
        <w:r w:rsidR="00E80481" w:rsidRPr="00E80481">
          <w:rPr>
            <w:b w:val="0"/>
            <w:noProof/>
            <w:webHidden/>
          </w:rPr>
          <w:fldChar w:fldCharType="separate"/>
        </w:r>
        <w:r w:rsidR="009F65B1">
          <w:rPr>
            <w:b w:val="0"/>
            <w:noProof/>
            <w:webHidden/>
          </w:rPr>
          <w:t>37</w:t>
        </w:r>
        <w:r w:rsidR="00E80481" w:rsidRPr="00E80481">
          <w:rPr>
            <w:b w:val="0"/>
            <w:noProof/>
            <w:webHidden/>
          </w:rPr>
          <w:fldChar w:fldCharType="end"/>
        </w:r>
      </w:hyperlink>
    </w:p>
    <w:p w:rsidR="00E80481" w:rsidRPr="00E80481" w:rsidRDefault="00217656">
      <w:pPr>
        <w:pStyle w:val="TDC1"/>
        <w:tabs>
          <w:tab w:val="left" w:pos="720"/>
          <w:tab w:val="right" w:leader="dot" w:pos="8828"/>
        </w:tabs>
        <w:rPr>
          <w:rFonts w:cstheme="minorBidi"/>
          <w:b w:val="0"/>
          <w:bCs w:val="0"/>
          <w:caps w:val="0"/>
          <w:noProof/>
          <w:sz w:val="22"/>
          <w:szCs w:val="22"/>
        </w:rPr>
      </w:pPr>
      <w:hyperlink w:anchor="_Toc201830233" w:history="1">
        <w:r w:rsidR="00E80481" w:rsidRPr="00E80481">
          <w:rPr>
            <w:rStyle w:val="Hipervnculo"/>
            <w:rFonts w:ascii="Noto Sans" w:hAnsi="Noto Sans" w:cs="Noto Sans"/>
            <w:b w:val="0"/>
            <w:noProof/>
          </w:rPr>
          <w:t>10.1.</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Modalidad presupuestaria</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_Toc201830233 \h </w:instrText>
        </w:r>
        <w:r w:rsidR="00E80481" w:rsidRPr="00E80481">
          <w:rPr>
            <w:b w:val="0"/>
            <w:noProof/>
            <w:webHidden/>
          </w:rPr>
        </w:r>
        <w:r w:rsidR="00E80481" w:rsidRPr="00E80481">
          <w:rPr>
            <w:b w:val="0"/>
            <w:noProof/>
            <w:webHidden/>
          </w:rPr>
          <w:fldChar w:fldCharType="separate"/>
        </w:r>
        <w:r w:rsidR="009F65B1">
          <w:rPr>
            <w:b w:val="0"/>
            <w:noProof/>
            <w:webHidden/>
          </w:rPr>
          <w:t>37</w:t>
        </w:r>
        <w:r w:rsidR="00E80481" w:rsidRPr="00E80481">
          <w:rPr>
            <w:b w:val="0"/>
            <w:noProof/>
            <w:webHidden/>
          </w:rPr>
          <w:fldChar w:fldCharType="end"/>
        </w:r>
      </w:hyperlink>
    </w:p>
    <w:p w:rsidR="00E80481" w:rsidRPr="00E80481" w:rsidRDefault="00217656">
      <w:pPr>
        <w:pStyle w:val="TDC1"/>
        <w:tabs>
          <w:tab w:val="left" w:pos="720"/>
          <w:tab w:val="right" w:leader="dot" w:pos="8828"/>
        </w:tabs>
        <w:rPr>
          <w:rFonts w:cstheme="minorBidi"/>
          <w:b w:val="0"/>
          <w:bCs w:val="0"/>
          <w:caps w:val="0"/>
          <w:noProof/>
          <w:sz w:val="22"/>
          <w:szCs w:val="22"/>
        </w:rPr>
      </w:pPr>
      <w:hyperlink w:anchor="_Toc201830234" w:history="1">
        <w:r w:rsidR="00E80481" w:rsidRPr="00E80481">
          <w:rPr>
            <w:rStyle w:val="Hipervnculo"/>
            <w:rFonts w:ascii="Noto Sans" w:hAnsi="Noto Sans" w:cs="Noto Sans"/>
            <w:b w:val="0"/>
            <w:noProof/>
          </w:rPr>
          <w:t>10.2.</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Unidades Responsables</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_Toc201830234 \h </w:instrText>
        </w:r>
        <w:r w:rsidR="00E80481" w:rsidRPr="00E80481">
          <w:rPr>
            <w:b w:val="0"/>
            <w:noProof/>
            <w:webHidden/>
          </w:rPr>
        </w:r>
        <w:r w:rsidR="00E80481" w:rsidRPr="00E80481">
          <w:rPr>
            <w:b w:val="0"/>
            <w:noProof/>
            <w:webHidden/>
          </w:rPr>
          <w:fldChar w:fldCharType="separate"/>
        </w:r>
        <w:r w:rsidR="009F65B1">
          <w:rPr>
            <w:b w:val="0"/>
            <w:noProof/>
            <w:webHidden/>
          </w:rPr>
          <w:t>37</w:t>
        </w:r>
        <w:r w:rsidR="00E80481" w:rsidRPr="00E80481">
          <w:rPr>
            <w:b w:val="0"/>
            <w:noProof/>
            <w:webHidden/>
          </w:rPr>
          <w:fldChar w:fldCharType="end"/>
        </w:r>
      </w:hyperlink>
    </w:p>
    <w:p w:rsidR="00E80481" w:rsidRPr="00E80481" w:rsidRDefault="00217656">
      <w:pPr>
        <w:pStyle w:val="TDC1"/>
        <w:tabs>
          <w:tab w:val="left" w:pos="720"/>
          <w:tab w:val="right" w:leader="dot" w:pos="8828"/>
        </w:tabs>
        <w:rPr>
          <w:rFonts w:cstheme="minorBidi"/>
          <w:b w:val="0"/>
          <w:bCs w:val="0"/>
          <w:caps w:val="0"/>
          <w:noProof/>
          <w:sz w:val="22"/>
          <w:szCs w:val="22"/>
        </w:rPr>
      </w:pPr>
      <w:hyperlink w:anchor="_Toc201830235" w:history="1">
        <w:r w:rsidR="00E80481" w:rsidRPr="00E80481">
          <w:rPr>
            <w:rStyle w:val="Hipervnculo"/>
            <w:rFonts w:ascii="Noto Sans" w:hAnsi="Noto Sans" w:cs="Noto Sans"/>
            <w:b w:val="0"/>
            <w:noProof/>
          </w:rPr>
          <w:t>10.3.</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Bienes y servicios</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_Toc201830235 \h </w:instrText>
        </w:r>
        <w:r w:rsidR="00E80481" w:rsidRPr="00E80481">
          <w:rPr>
            <w:b w:val="0"/>
            <w:noProof/>
            <w:webHidden/>
          </w:rPr>
        </w:r>
        <w:r w:rsidR="00E80481" w:rsidRPr="00E80481">
          <w:rPr>
            <w:b w:val="0"/>
            <w:noProof/>
            <w:webHidden/>
          </w:rPr>
          <w:fldChar w:fldCharType="separate"/>
        </w:r>
        <w:r w:rsidR="009F65B1">
          <w:rPr>
            <w:b w:val="0"/>
            <w:noProof/>
            <w:webHidden/>
          </w:rPr>
          <w:t>37</w:t>
        </w:r>
        <w:r w:rsidR="00E80481" w:rsidRPr="00E80481">
          <w:rPr>
            <w:b w:val="0"/>
            <w:noProof/>
            <w:webHidden/>
          </w:rPr>
          <w:fldChar w:fldCharType="end"/>
        </w:r>
      </w:hyperlink>
    </w:p>
    <w:p w:rsidR="00E80481" w:rsidRPr="00E80481" w:rsidRDefault="00217656">
      <w:pPr>
        <w:pStyle w:val="TDC1"/>
        <w:tabs>
          <w:tab w:val="left" w:pos="720"/>
          <w:tab w:val="right" w:leader="dot" w:pos="8828"/>
        </w:tabs>
        <w:rPr>
          <w:rFonts w:cstheme="minorBidi"/>
          <w:b w:val="0"/>
          <w:bCs w:val="0"/>
          <w:caps w:val="0"/>
          <w:noProof/>
          <w:sz w:val="22"/>
          <w:szCs w:val="22"/>
        </w:rPr>
      </w:pPr>
      <w:hyperlink w:anchor="_Toc201830236" w:history="1">
        <w:r w:rsidR="00E80481" w:rsidRPr="00E80481">
          <w:rPr>
            <w:rStyle w:val="Hipervnculo"/>
            <w:rFonts w:ascii="Noto Sans" w:hAnsi="Noto Sans" w:cs="Noto Sans"/>
            <w:b w:val="0"/>
            <w:noProof/>
          </w:rPr>
          <w:t>10.4.</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Cobertura</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_Toc201830236 \h </w:instrText>
        </w:r>
        <w:r w:rsidR="00E80481" w:rsidRPr="00E80481">
          <w:rPr>
            <w:b w:val="0"/>
            <w:noProof/>
            <w:webHidden/>
          </w:rPr>
        </w:r>
        <w:r w:rsidR="00E80481" w:rsidRPr="00E80481">
          <w:rPr>
            <w:b w:val="0"/>
            <w:noProof/>
            <w:webHidden/>
          </w:rPr>
          <w:fldChar w:fldCharType="separate"/>
        </w:r>
        <w:r w:rsidR="009F65B1">
          <w:rPr>
            <w:b w:val="0"/>
            <w:noProof/>
            <w:webHidden/>
          </w:rPr>
          <w:t>42</w:t>
        </w:r>
        <w:r w:rsidR="00E80481" w:rsidRPr="00E80481">
          <w:rPr>
            <w:b w:val="0"/>
            <w:noProof/>
            <w:webHidden/>
          </w:rPr>
          <w:fldChar w:fldCharType="end"/>
        </w:r>
      </w:hyperlink>
    </w:p>
    <w:p w:rsidR="00E80481" w:rsidRPr="00E80481" w:rsidRDefault="00217656">
      <w:pPr>
        <w:pStyle w:val="TDC1"/>
        <w:tabs>
          <w:tab w:val="left" w:pos="720"/>
          <w:tab w:val="right" w:leader="dot" w:pos="8828"/>
        </w:tabs>
        <w:rPr>
          <w:rFonts w:cstheme="minorBidi"/>
          <w:b w:val="0"/>
          <w:bCs w:val="0"/>
          <w:caps w:val="0"/>
          <w:noProof/>
          <w:sz w:val="22"/>
          <w:szCs w:val="22"/>
        </w:rPr>
      </w:pPr>
      <w:hyperlink w:anchor="_Toc201830237" w:history="1">
        <w:r w:rsidR="00E80481" w:rsidRPr="00E80481">
          <w:rPr>
            <w:rStyle w:val="Hipervnculo"/>
            <w:rFonts w:ascii="Noto Sans" w:hAnsi="Noto Sans" w:cs="Noto Sans"/>
            <w:b w:val="0"/>
            <w:noProof/>
          </w:rPr>
          <w:t>10.5.</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Registro de población atendida</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_Toc201830237 \h </w:instrText>
        </w:r>
        <w:r w:rsidR="00E80481" w:rsidRPr="00E80481">
          <w:rPr>
            <w:b w:val="0"/>
            <w:noProof/>
            <w:webHidden/>
          </w:rPr>
        </w:r>
        <w:r w:rsidR="00E80481" w:rsidRPr="00E80481">
          <w:rPr>
            <w:b w:val="0"/>
            <w:noProof/>
            <w:webHidden/>
          </w:rPr>
          <w:fldChar w:fldCharType="separate"/>
        </w:r>
        <w:r w:rsidR="009F65B1">
          <w:rPr>
            <w:b w:val="0"/>
            <w:noProof/>
            <w:webHidden/>
          </w:rPr>
          <w:t>42</w:t>
        </w:r>
        <w:r w:rsidR="00E80481" w:rsidRPr="00E80481">
          <w:rPr>
            <w:b w:val="0"/>
            <w:noProof/>
            <w:webHidden/>
          </w:rPr>
          <w:fldChar w:fldCharType="end"/>
        </w:r>
      </w:hyperlink>
    </w:p>
    <w:p w:rsidR="00E80481" w:rsidRPr="00E80481" w:rsidRDefault="00217656">
      <w:pPr>
        <w:pStyle w:val="TDC1"/>
        <w:tabs>
          <w:tab w:val="left" w:pos="720"/>
          <w:tab w:val="right" w:leader="dot" w:pos="8828"/>
        </w:tabs>
        <w:rPr>
          <w:rFonts w:cstheme="minorBidi"/>
          <w:b w:val="0"/>
          <w:bCs w:val="0"/>
          <w:caps w:val="0"/>
          <w:noProof/>
          <w:sz w:val="22"/>
          <w:szCs w:val="22"/>
        </w:rPr>
      </w:pPr>
      <w:hyperlink w:anchor="_Toc201830238" w:history="1">
        <w:r w:rsidR="00E80481" w:rsidRPr="00E80481">
          <w:rPr>
            <w:rStyle w:val="Hipervnculo"/>
            <w:rFonts w:ascii="Noto Sans" w:hAnsi="Noto Sans" w:cs="Noto Sans"/>
            <w:b w:val="0"/>
            <w:noProof/>
          </w:rPr>
          <w:t>11.</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Análisis de similitudes, complementariedades y duplicidades</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_Toc201830238 \h </w:instrText>
        </w:r>
        <w:r w:rsidR="00E80481" w:rsidRPr="00E80481">
          <w:rPr>
            <w:b w:val="0"/>
            <w:noProof/>
            <w:webHidden/>
          </w:rPr>
        </w:r>
        <w:r w:rsidR="00E80481" w:rsidRPr="00E80481">
          <w:rPr>
            <w:b w:val="0"/>
            <w:noProof/>
            <w:webHidden/>
          </w:rPr>
          <w:fldChar w:fldCharType="separate"/>
        </w:r>
        <w:r w:rsidR="009F65B1">
          <w:rPr>
            <w:b w:val="0"/>
            <w:noProof/>
            <w:webHidden/>
          </w:rPr>
          <w:t>44</w:t>
        </w:r>
        <w:r w:rsidR="00E80481" w:rsidRPr="00E80481">
          <w:rPr>
            <w:b w:val="0"/>
            <w:noProof/>
            <w:webHidden/>
          </w:rPr>
          <w:fldChar w:fldCharType="end"/>
        </w:r>
      </w:hyperlink>
    </w:p>
    <w:p w:rsidR="00E80481" w:rsidRPr="00E80481" w:rsidRDefault="00217656">
      <w:pPr>
        <w:pStyle w:val="TDC1"/>
        <w:tabs>
          <w:tab w:val="left" w:pos="720"/>
          <w:tab w:val="right" w:leader="dot" w:pos="8828"/>
        </w:tabs>
        <w:rPr>
          <w:rFonts w:cstheme="minorBidi"/>
          <w:b w:val="0"/>
          <w:bCs w:val="0"/>
          <w:caps w:val="0"/>
          <w:noProof/>
          <w:sz w:val="22"/>
          <w:szCs w:val="22"/>
        </w:rPr>
      </w:pPr>
      <w:hyperlink w:anchor="_Toc201830239" w:history="1">
        <w:r w:rsidR="00E80481" w:rsidRPr="00E80481">
          <w:rPr>
            <w:rStyle w:val="Hipervnculo"/>
            <w:rFonts w:ascii="Noto Sans" w:hAnsi="Noto Sans" w:cs="Noto Sans"/>
            <w:b w:val="0"/>
            <w:noProof/>
          </w:rPr>
          <w:t>12.</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Instrumento de Seguimiento del Desempeño</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_Toc201830239 \h </w:instrText>
        </w:r>
        <w:r w:rsidR="00E80481" w:rsidRPr="00E80481">
          <w:rPr>
            <w:b w:val="0"/>
            <w:noProof/>
            <w:webHidden/>
          </w:rPr>
        </w:r>
        <w:r w:rsidR="00E80481" w:rsidRPr="00E80481">
          <w:rPr>
            <w:b w:val="0"/>
            <w:noProof/>
            <w:webHidden/>
          </w:rPr>
          <w:fldChar w:fldCharType="separate"/>
        </w:r>
        <w:r w:rsidR="009F65B1">
          <w:rPr>
            <w:b w:val="0"/>
            <w:noProof/>
            <w:webHidden/>
          </w:rPr>
          <w:t>47</w:t>
        </w:r>
        <w:r w:rsidR="00E80481" w:rsidRPr="00E80481">
          <w:rPr>
            <w:b w:val="0"/>
            <w:noProof/>
            <w:webHidden/>
          </w:rPr>
          <w:fldChar w:fldCharType="end"/>
        </w:r>
      </w:hyperlink>
    </w:p>
    <w:p w:rsidR="00E80481" w:rsidRPr="00E80481" w:rsidRDefault="00217656">
      <w:pPr>
        <w:pStyle w:val="TDC1"/>
        <w:tabs>
          <w:tab w:val="left" w:pos="720"/>
          <w:tab w:val="right" w:leader="dot" w:pos="8828"/>
        </w:tabs>
        <w:rPr>
          <w:rFonts w:cstheme="minorBidi"/>
          <w:b w:val="0"/>
          <w:bCs w:val="0"/>
          <w:caps w:val="0"/>
          <w:noProof/>
          <w:sz w:val="22"/>
          <w:szCs w:val="22"/>
        </w:rPr>
      </w:pPr>
      <w:hyperlink w:anchor="_Toc201830240" w:history="1">
        <w:r w:rsidR="00E80481" w:rsidRPr="00E80481">
          <w:rPr>
            <w:rStyle w:val="Hipervnculo"/>
            <w:rFonts w:ascii="Noto Sans" w:hAnsi="Noto Sans" w:cs="Noto Sans"/>
            <w:b w:val="0"/>
            <w:noProof/>
          </w:rPr>
          <w:t>13.</w:t>
        </w:r>
        <w:r w:rsidR="00E80481" w:rsidRPr="00E80481">
          <w:rPr>
            <w:rFonts w:cstheme="minorBidi"/>
            <w:b w:val="0"/>
            <w:bCs w:val="0"/>
            <w:caps w:val="0"/>
            <w:noProof/>
            <w:sz w:val="22"/>
            <w:szCs w:val="22"/>
          </w:rPr>
          <w:tab/>
        </w:r>
        <w:r w:rsidR="00E80481" w:rsidRPr="00E80481">
          <w:rPr>
            <w:rStyle w:val="Hipervnculo"/>
            <w:rFonts w:ascii="Noto Sans" w:hAnsi="Noto Sans" w:cs="Noto Sans"/>
            <w:b w:val="0"/>
            <w:noProof/>
          </w:rPr>
          <w:t>Análisis presupuestal</w:t>
        </w:r>
        <w:r w:rsidR="00E80481" w:rsidRPr="00E80481">
          <w:rPr>
            <w:b w:val="0"/>
            <w:noProof/>
            <w:webHidden/>
          </w:rPr>
          <w:tab/>
        </w:r>
        <w:r w:rsidR="00E80481" w:rsidRPr="00E80481">
          <w:rPr>
            <w:b w:val="0"/>
            <w:noProof/>
            <w:webHidden/>
          </w:rPr>
          <w:fldChar w:fldCharType="begin"/>
        </w:r>
        <w:r w:rsidR="00E80481" w:rsidRPr="00E80481">
          <w:rPr>
            <w:b w:val="0"/>
            <w:noProof/>
            <w:webHidden/>
          </w:rPr>
          <w:instrText xml:space="preserve"> PAGEREF _Toc201830240 \h </w:instrText>
        </w:r>
        <w:r w:rsidR="00E80481" w:rsidRPr="00E80481">
          <w:rPr>
            <w:b w:val="0"/>
            <w:noProof/>
            <w:webHidden/>
          </w:rPr>
        </w:r>
        <w:r w:rsidR="00E80481" w:rsidRPr="00E80481">
          <w:rPr>
            <w:b w:val="0"/>
            <w:noProof/>
            <w:webHidden/>
          </w:rPr>
          <w:fldChar w:fldCharType="separate"/>
        </w:r>
        <w:r w:rsidR="009F65B1">
          <w:rPr>
            <w:b w:val="0"/>
            <w:noProof/>
            <w:webHidden/>
          </w:rPr>
          <w:t>52</w:t>
        </w:r>
        <w:r w:rsidR="00E80481" w:rsidRPr="00E80481">
          <w:rPr>
            <w:b w:val="0"/>
            <w:noProof/>
            <w:webHidden/>
          </w:rPr>
          <w:fldChar w:fldCharType="end"/>
        </w:r>
      </w:hyperlink>
    </w:p>
    <w:p w:rsidR="0031219F" w:rsidRPr="004B0F70" w:rsidRDefault="006F390A" w:rsidP="00CD4882">
      <w:pPr>
        <w:spacing w:before="120" w:after="120" w:line="276" w:lineRule="auto"/>
        <w:jc w:val="both"/>
        <w:rPr>
          <w:rFonts w:ascii="Noto Sans" w:hAnsi="Noto Sans" w:cs="Noto Sans"/>
          <w:sz w:val="20"/>
        </w:rPr>
      </w:pPr>
      <w:r w:rsidRPr="00E80481">
        <w:rPr>
          <w:rFonts w:ascii="Noto Sans" w:hAnsi="Noto Sans" w:cs="Noto Sans"/>
          <w:bCs/>
          <w:sz w:val="20"/>
          <w:szCs w:val="22"/>
        </w:rPr>
        <w:fldChar w:fldCharType="end"/>
      </w:r>
    </w:p>
    <w:p w:rsidR="00E17FE6" w:rsidRDefault="00E17FE6" w:rsidP="00CD4882">
      <w:pPr>
        <w:spacing w:before="120" w:after="120" w:line="276" w:lineRule="auto"/>
        <w:rPr>
          <w:rFonts w:ascii="Noto Sans" w:hAnsi="Noto Sans" w:cs="Noto Sans"/>
        </w:rPr>
      </w:pPr>
      <w:r w:rsidRPr="00D219AA">
        <w:rPr>
          <w:rFonts w:ascii="Noto Sans" w:hAnsi="Noto Sans" w:cs="Noto Sans"/>
        </w:rPr>
        <w:br w:type="page"/>
      </w:r>
    </w:p>
    <w:p w:rsidR="009A0DC9" w:rsidRPr="00DC53B2" w:rsidRDefault="009A0DC9" w:rsidP="005423A0">
      <w:pPr>
        <w:pStyle w:val="Ttulo1"/>
        <w:rPr>
          <w:rFonts w:ascii="Noto Sans" w:hAnsi="Noto Sans" w:cs="Noto Sans"/>
          <w:b/>
          <w:bCs/>
          <w:color w:val="1E5B4F"/>
          <w:sz w:val="20"/>
          <w:szCs w:val="20"/>
        </w:rPr>
      </w:pPr>
      <w:bookmarkStart w:id="1" w:name="_Toc201830218"/>
      <w:r w:rsidRPr="00DC53B2">
        <w:rPr>
          <w:rFonts w:ascii="Noto Sans" w:hAnsi="Noto Sans" w:cs="Noto Sans"/>
          <w:b/>
          <w:bCs/>
          <w:color w:val="1E5B4F"/>
          <w:sz w:val="20"/>
          <w:szCs w:val="20"/>
        </w:rPr>
        <w:lastRenderedPageBreak/>
        <w:t>Datos de identificación del Programa presupuestario</w:t>
      </w:r>
      <w:r w:rsidR="005D309A" w:rsidRPr="00DC53B2">
        <w:rPr>
          <w:rFonts w:ascii="Noto Sans" w:hAnsi="Noto Sans" w:cs="Noto Sans"/>
          <w:b/>
          <w:bCs/>
          <w:color w:val="1E5B4F"/>
          <w:sz w:val="20"/>
          <w:szCs w:val="20"/>
        </w:rPr>
        <w:t xml:space="preserve"> (Pp)</w:t>
      </w:r>
      <w:bookmarkEnd w:id="1"/>
    </w:p>
    <w:p w:rsidR="005423A0" w:rsidRPr="00DC53B2" w:rsidRDefault="005423A0" w:rsidP="005423A0">
      <w:pPr>
        <w:rPr>
          <w:rFonts w:ascii="Noto Sans" w:hAnsi="Noto Sans" w:cs="Noto Sans"/>
          <w:sz w:val="20"/>
          <w:szCs w:val="20"/>
        </w:rPr>
      </w:pPr>
    </w:p>
    <w:tbl>
      <w:tblPr>
        <w:tblStyle w:val="Tablaconcuadrcula"/>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63"/>
        <w:gridCol w:w="6565"/>
      </w:tblGrid>
      <w:tr w:rsidR="009A0DC9" w:rsidRPr="00DC53B2" w:rsidTr="009C569F">
        <w:trPr>
          <w:trHeight w:val="454"/>
        </w:trPr>
        <w:tc>
          <w:tcPr>
            <w:tcW w:w="2263" w:type="dxa"/>
            <w:tcBorders>
              <w:right w:val="single" w:sz="4" w:space="0" w:color="D9D9D9" w:themeColor="background1" w:themeShade="D9"/>
            </w:tcBorders>
            <w:shd w:val="clear" w:color="auto" w:fill="1E5B4F"/>
            <w:vAlign w:val="center"/>
          </w:tcPr>
          <w:p w:rsidR="009A0DC9" w:rsidRPr="00DC53B2" w:rsidRDefault="009A0DC9" w:rsidP="0048756B">
            <w:pPr>
              <w:rPr>
                <w:rFonts w:ascii="Noto Sans" w:hAnsi="Noto Sans" w:cs="Noto Sans"/>
                <w:b/>
                <w:bCs/>
                <w:color w:val="FFFFFF" w:themeColor="background1"/>
                <w:sz w:val="20"/>
                <w:szCs w:val="20"/>
              </w:rPr>
            </w:pPr>
            <w:r w:rsidRPr="00DC53B2">
              <w:rPr>
                <w:rFonts w:ascii="Noto Sans" w:hAnsi="Noto Sans" w:cs="Noto Sans"/>
                <w:b/>
                <w:bCs/>
                <w:color w:val="FFFFFF" w:themeColor="background1"/>
                <w:sz w:val="20"/>
                <w:szCs w:val="20"/>
              </w:rPr>
              <w:t>Ramo</w:t>
            </w:r>
          </w:p>
        </w:tc>
        <w:tc>
          <w:tcPr>
            <w:tcW w:w="6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rsidR="009A0DC9" w:rsidRPr="00DC53B2" w:rsidRDefault="005764B9" w:rsidP="00D97944">
            <w:pPr>
              <w:rPr>
                <w:rFonts w:ascii="Noto Sans" w:hAnsi="Noto Sans" w:cs="Noto Sans"/>
                <w:i/>
                <w:iCs/>
                <w:sz w:val="20"/>
                <w:szCs w:val="20"/>
              </w:rPr>
            </w:pPr>
            <w:r w:rsidRPr="00DC53B2">
              <w:rPr>
                <w:rFonts w:ascii="Noto Sans" w:hAnsi="Noto Sans" w:cs="Noto Sans"/>
                <w:i/>
                <w:iCs/>
                <w:sz w:val="20"/>
                <w:szCs w:val="20"/>
              </w:rPr>
              <w:t>012</w:t>
            </w:r>
          </w:p>
        </w:tc>
      </w:tr>
      <w:tr w:rsidR="009A0DC9" w:rsidRPr="00DC53B2" w:rsidTr="009C569F">
        <w:trPr>
          <w:trHeight w:val="454"/>
        </w:trPr>
        <w:tc>
          <w:tcPr>
            <w:tcW w:w="2263" w:type="dxa"/>
            <w:tcBorders>
              <w:right w:val="single" w:sz="4" w:space="0" w:color="D9D9D9" w:themeColor="background1" w:themeShade="D9"/>
            </w:tcBorders>
            <w:shd w:val="clear" w:color="auto" w:fill="1E5B4F"/>
            <w:vAlign w:val="center"/>
          </w:tcPr>
          <w:p w:rsidR="009A0DC9" w:rsidRPr="00DC53B2" w:rsidRDefault="009A0DC9" w:rsidP="0048756B">
            <w:pPr>
              <w:rPr>
                <w:rFonts w:ascii="Noto Sans" w:hAnsi="Noto Sans" w:cs="Noto Sans"/>
                <w:b/>
                <w:bCs/>
                <w:color w:val="FFFFFF" w:themeColor="background1"/>
                <w:sz w:val="20"/>
                <w:szCs w:val="20"/>
              </w:rPr>
            </w:pPr>
            <w:r w:rsidRPr="00DC53B2">
              <w:rPr>
                <w:rFonts w:ascii="Noto Sans" w:hAnsi="Noto Sans" w:cs="Noto Sans"/>
                <w:b/>
                <w:bCs/>
                <w:color w:val="FFFFFF" w:themeColor="background1"/>
                <w:sz w:val="20"/>
                <w:szCs w:val="20"/>
              </w:rPr>
              <w:t>Modalidad del Pp</w:t>
            </w:r>
          </w:p>
        </w:tc>
        <w:tc>
          <w:tcPr>
            <w:tcW w:w="6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rsidR="009A0DC9" w:rsidRPr="00DC53B2" w:rsidRDefault="005764B9" w:rsidP="00D97944">
            <w:pPr>
              <w:rPr>
                <w:rFonts w:ascii="Noto Sans" w:hAnsi="Noto Sans" w:cs="Noto Sans"/>
                <w:i/>
                <w:iCs/>
                <w:sz w:val="20"/>
                <w:szCs w:val="20"/>
              </w:rPr>
            </w:pPr>
            <w:r w:rsidRPr="00DC53B2">
              <w:rPr>
                <w:rFonts w:ascii="Noto Sans" w:hAnsi="Noto Sans" w:cs="Noto Sans"/>
                <w:i/>
                <w:iCs/>
                <w:sz w:val="20"/>
                <w:szCs w:val="20"/>
              </w:rPr>
              <w:t>E</w:t>
            </w:r>
          </w:p>
        </w:tc>
      </w:tr>
      <w:tr w:rsidR="009A0DC9" w:rsidRPr="00DC53B2" w:rsidTr="009C569F">
        <w:trPr>
          <w:trHeight w:val="397"/>
        </w:trPr>
        <w:tc>
          <w:tcPr>
            <w:tcW w:w="2263" w:type="dxa"/>
            <w:tcBorders>
              <w:right w:val="single" w:sz="4" w:space="0" w:color="D9D9D9" w:themeColor="background1" w:themeShade="D9"/>
            </w:tcBorders>
            <w:shd w:val="clear" w:color="auto" w:fill="1E5B4F"/>
            <w:vAlign w:val="center"/>
          </w:tcPr>
          <w:p w:rsidR="009A0DC9" w:rsidRPr="00DC53B2" w:rsidRDefault="009A0DC9" w:rsidP="0048756B">
            <w:pPr>
              <w:rPr>
                <w:rFonts w:ascii="Noto Sans" w:hAnsi="Noto Sans" w:cs="Noto Sans"/>
                <w:b/>
                <w:bCs/>
                <w:color w:val="FFFFFF" w:themeColor="background1"/>
                <w:sz w:val="20"/>
                <w:szCs w:val="20"/>
              </w:rPr>
            </w:pPr>
            <w:r w:rsidRPr="00DC53B2">
              <w:rPr>
                <w:rFonts w:ascii="Noto Sans" w:hAnsi="Noto Sans" w:cs="Noto Sans"/>
                <w:b/>
                <w:bCs/>
                <w:color w:val="FFFFFF" w:themeColor="background1"/>
                <w:sz w:val="20"/>
                <w:szCs w:val="20"/>
              </w:rPr>
              <w:t>Clave del Pp</w:t>
            </w:r>
          </w:p>
        </w:tc>
        <w:tc>
          <w:tcPr>
            <w:tcW w:w="6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rsidR="009A0DC9" w:rsidRPr="00DC53B2" w:rsidRDefault="005764B9" w:rsidP="00D97944">
            <w:pPr>
              <w:rPr>
                <w:rFonts w:ascii="Noto Sans" w:hAnsi="Noto Sans" w:cs="Noto Sans"/>
                <w:i/>
                <w:iCs/>
                <w:sz w:val="20"/>
                <w:szCs w:val="20"/>
              </w:rPr>
            </w:pPr>
            <w:r w:rsidRPr="00DC53B2">
              <w:rPr>
                <w:rFonts w:ascii="Noto Sans" w:hAnsi="Noto Sans" w:cs="Noto Sans"/>
                <w:i/>
                <w:iCs/>
                <w:sz w:val="20"/>
                <w:szCs w:val="20"/>
              </w:rPr>
              <w:t>031</w:t>
            </w:r>
          </w:p>
        </w:tc>
      </w:tr>
      <w:tr w:rsidR="009A0DC9" w:rsidRPr="00DC53B2" w:rsidTr="009C569F">
        <w:trPr>
          <w:trHeight w:val="397"/>
        </w:trPr>
        <w:tc>
          <w:tcPr>
            <w:tcW w:w="2263" w:type="dxa"/>
            <w:tcBorders>
              <w:right w:val="single" w:sz="4" w:space="0" w:color="D9D9D9" w:themeColor="background1" w:themeShade="D9"/>
            </w:tcBorders>
            <w:shd w:val="clear" w:color="auto" w:fill="1E5B4F"/>
            <w:vAlign w:val="center"/>
          </w:tcPr>
          <w:p w:rsidR="009A0DC9" w:rsidRPr="00DC53B2" w:rsidRDefault="009A0DC9" w:rsidP="0048756B">
            <w:pPr>
              <w:rPr>
                <w:rFonts w:ascii="Noto Sans" w:hAnsi="Noto Sans" w:cs="Noto Sans"/>
                <w:b/>
                <w:bCs/>
                <w:color w:val="FFFFFF" w:themeColor="background1"/>
                <w:sz w:val="20"/>
                <w:szCs w:val="20"/>
              </w:rPr>
            </w:pPr>
            <w:r w:rsidRPr="00DC53B2">
              <w:rPr>
                <w:rFonts w:ascii="Noto Sans" w:hAnsi="Noto Sans" w:cs="Noto Sans"/>
                <w:b/>
                <w:bCs/>
                <w:color w:val="FFFFFF" w:themeColor="background1"/>
                <w:sz w:val="20"/>
                <w:szCs w:val="20"/>
              </w:rPr>
              <w:t>Denominación Pp</w:t>
            </w:r>
          </w:p>
        </w:tc>
        <w:tc>
          <w:tcPr>
            <w:tcW w:w="6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rsidR="009A0DC9" w:rsidRPr="00DC53B2" w:rsidRDefault="005764B9" w:rsidP="00D97944">
            <w:pPr>
              <w:rPr>
                <w:rFonts w:ascii="Noto Sans" w:hAnsi="Noto Sans" w:cs="Noto Sans"/>
                <w:i/>
                <w:iCs/>
                <w:sz w:val="20"/>
                <w:szCs w:val="20"/>
              </w:rPr>
            </w:pPr>
            <w:r w:rsidRPr="00DC53B2">
              <w:rPr>
                <w:rFonts w:ascii="Noto Sans" w:hAnsi="Noto Sans" w:cs="Noto Sans"/>
                <w:i/>
                <w:iCs/>
                <w:sz w:val="20"/>
                <w:szCs w:val="20"/>
              </w:rPr>
              <w:t>Servicios de atención a la salud</w:t>
            </w:r>
          </w:p>
        </w:tc>
      </w:tr>
    </w:tbl>
    <w:p w:rsidR="000C5AC9" w:rsidRPr="00DC53B2" w:rsidRDefault="000C5AC9" w:rsidP="009A0DC9">
      <w:pPr>
        <w:spacing w:before="120" w:after="120" w:line="276" w:lineRule="auto"/>
        <w:jc w:val="both"/>
        <w:rPr>
          <w:rFonts w:ascii="Noto Sans" w:hAnsi="Noto Sans" w:cs="Noto Sans"/>
          <w:sz w:val="20"/>
          <w:szCs w:val="20"/>
        </w:rPr>
      </w:pPr>
    </w:p>
    <w:p w:rsidR="001078C6" w:rsidRPr="007715DC" w:rsidRDefault="001078C6" w:rsidP="005E6276">
      <w:pPr>
        <w:pStyle w:val="Ttulo1"/>
        <w:numPr>
          <w:ilvl w:val="0"/>
          <w:numId w:val="1"/>
        </w:numPr>
        <w:spacing w:before="120" w:after="120" w:line="276" w:lineRule="auto"/>
        <w:rPr>
          <w:rFonts w:ascii="Noto Sans" w:hAnsi="Noto Sans" w:cs="Noto Sans"/>
          <w:b/>
          <w:color w:val="1E5B4F"/>
          <w:sz w:val="20"/>
          <w:szCs w:val="20"/>
        </w:rPr>
      </w:pPr>
      <w:bookmarkStart w:id="2" w:name="_Toc201830219"/>
      <w:r w:rsidRPr="007715DC">
        <w:rPr>
          <w:rFonts w:ascii="Noto Sans" w:hAnsi="Noto Sans" w:cs="Noto Sans"/>
          <w:b/>
          <w:color w:val="1E5B4F"/>
          <w:sz w:val="20"/>
          <w:szCs w:val="20"/>
        </w:rPr>
        <w:t>Introducción</w:t>
      </w:r>
      <w:bookmarkEnd w:id="2"/>
    </w:p>
    <w:p w:rsidR="005764B9" w:rsidRPr="007715DC" w:rsidRDefault="005764B9" w:rsidP="009E77FF">
      <w:pPr>
        <w:spacing w:before="120" w:after="120" w:line="276" w:lineRule="auto"/>
        <w:jc w:val="both"/>
        <w:rPr>
          <w:rFonts w:ascii="Noto Sans" w:hAnsi="Noto Sans" w:cs="Noto Sans"/>
          <w:sz w:val="20"/>
          <w:szCs w:val="20"/>
        </w:rPr>
      </w:pPr>
      <w:r w:rsidRPr="007715DC">
        <w:rPr>
          <w:rFonts w:ascii="Noto Sans" w:hAnsi="Noto Sans" w:cs="Noto Sans"/>
          <w:sz w:val="20"/>
          <w:szCs w:val="20"/>
        </w:rPr>
        <w:t xml:space="preserve">La Constitución Política de los Estados Unidos Mexicanos establece en su artículo 4°, que toda persona tiene derecho a la protección de la salud y que la Ley definirá las bases y modalidades para el acceso a los servicios de salud e implementará un sistema de salud para el bienestar, con el fin de garantizar la extensión progresiva, cuantitativa y cualitativa de los servicios de salud para la atención integral y gratuita de las personas que no cuenten con seguridad social. </w:t>
      </w:r>
    </w:p>
    <w:p w:rsidR="00CD1730" w:rsidRDefault="005764B9" w:rsidP="008C3694">
      <w:pPr>
        <w:spacing w:before="120" w:after="120" w:line="276" w:lineRule="auto"/>
        <w:jc w:val="both"/>
        <w:rPr>
          <w:rFonts w:ascii="Noto Sans" w:hAnsi="Noto Sans" w:cs="Noto Sans"/>
          <w:sz w:val="20"/>
          <w:szCs w:val="20"/>
        </w:rPr>
      </w:pPr>
      <w:r w:rsidRPr="007715DC">
        <w:rPr>
          <w:rFonts w:ascii="Noto Sans" w:hAnsi="Noto Sans" w:cs="Noto Sans"/>
          <w:sz w:val="20"/>
          <w:szCs w:val="20"/>
        </w:rPr>
        <w:t>Por su parte, la Ley General de Salud, reglamenta el derecho a la protección de la salud y establece las bases y modalidades para el acceso a dichos servicios y la concurrencia entre la federación y las entidades federativas en materia de salubridad general.</w:t>
      </w:r>
    </w:p>
    <w:p w:rsidR="008C3694" w:rsidRPr="008C3694" w:rsidRDefault="00CD1730" w:rsidP="008C3694">
      <w:pPr>
        <w:spacing w:before="120" w:after="120" w:line="276" w:lineRule="auto"/>
        <w:jc w:val="both"/>
        <w:rPr>
          <w:rFonts w:ascii="Noto Sans" w:hAnsi="Noto Sans" w:cs="Noto Sans"/>
          <w:sz w:val="20"/>
          <w:szCs w:val="20"/>
        </w:rPr>
      </w:pPr>
      <w:r>
        <w:rPr>
          <w:rFonts w:ascii="Noto Sans" w:hAnsi="Noto Sans" w:cs="Noto Sans"/>
          <w:sz w:val="20"/>
          <w:szCs w:val="20"/>
        </w:rPr>
        <w:t>Previamente en</w:t>
      </w:r>
      <w:r w:rsidR="008C3694" w:rsidRPr="008C3694">
        <w:rPr>
          <w:rFonts w:ascii="Noto Sans" w:hAnsi="Noto Sans" w:cs="Noto Sans"/>
          <w:sz w:val="20"/>
          <w:szCs w:val="20"/>
        </w:rPr>
        <w:t xml:space="preserve"> 1998, se creó el Programa Nacional de Solidaridad Social (SOLIDARIDAD) y en 2014 se le cambió el nombre a Programa de Inclusión Social (PROSPERA). Dicho programa fue creado para apoyar el desarrollo humano de la población en pobreza extrema y brindaba apoyos en educación, salud, alimentación y acceso a otras dimensiones de bienestar, para coadyuvar con la ruptura del ciclo intergeneracional de la pobreza. En este programa participaron la entonces Secretaría de Desarrollo Social, la Secretaría de Educación Pública, la Secretaría de Salud, el Instituto Mexicano del Seguro Social y los gobiernos estatales y municipales.  En términos del artículo noveno transitorio del Presupuesto de Egresos de la Federación, en el ejercicio fiscal 2019 se eliminó el Programa PROSPERA y se creó el Programa Atención a la Salud y Medicamentos Gratuitos para la Población sin Seguridad Social Laboral (U013), mismo que en el ejercicio fiscal 2020 se denominó “Vertiente 2” del Programa U013. El objetivo de dicho programa era dar continuidad a las acciones iniciadas durante el año 2019 en las Entidades Federativas y en las unidades médicas del IMSS-Bienestar. A partir del año 2021 desaparece la Vertiente 2 del Programa U013 y como consecuencia se creó el programa presupuestario Atención a la Salud (E023) a cargo del Instituto de Salud para el Bienesta</w:t>
      </w:r>
      <w:r w:rsidR="00806D88">
        <w:rPr>
          <w:rFonts w:ascii="Noto Sans" w:hAnsi="Noto Sans" w:cs="Noto Sans"/>
          <w:sz w:val="20"/>
          <w:szCs w:val="20"/>
        </w:rPr>
        <w:t>r (INSABI). Dicho programa tuvo</w:t>
      </w:r>
      <w:r w:rsidR="008C3694" w:rsidRPr="008C3694">
        <w:rPr>
          <w:rFonts w:ascii="Noto Sans" w:hAnsi="Noto Sans" w:cs="Noto Sans"/>
          <w:sz w:val="20"/>
          <w:szCs w:val="20"/>
        </w:rPr>
        <w:t xml:space="preserve"> por objetivo incrementar el acceso efectivo y continuo en la prestación de los servicios de salud que demanda la población en condiciones de alta y muy alta marginación y sin acceso a la seguridad social, a través de los establecimientos de salud fijos, para el fortalecimiento de las redes de servicios de salud de primero y segundo nivel de atención, así como a los “Centros Regionales de Desarrollo Infantil y Estimulación Temprana” (CEREDI), a fin de contribuir al bienestar social e igualdad mediante la disminución de las </w:t>
      </w:r>
      <w:r w:rsidR="008C3694" w:rsidRPr="008C3694">
        <w:rPr>
          <w:rFonts w:ascii="Noto Sans" w:hAnsi="Noto Sans" w:cs="Noto Sans"/>
          <w:sz w:val="20"/>
          <w:szCs w:val="20"/>
        </w:rPr>
        <w:lastRenderedPageBreak/>
        <w:t>brechas de desigualdad en la salud, originada por la condición laboral de las personas.</w:t>
      </w:r>
      <w:r w:rsidR="00806D88">
        <w:rPr>
          <w:rFonts w:ascii="Noto Sans" w:hAnsi="Noto Sans" w:cs="Noto Sans"/>
          <w:sz w:val="20"/>
          <w:szCs w:val="20"/>
        </w:rPr>
        <w:t xml:space="preserve"> A partir del año 2026, el programa E023 pasará a ser el programa presupuestario E031 “Atención a la Salud”</w:t>
      </w:r>
    </w:p>
    <w:p w:rsidR="005764B9" w:rsidRPr="007715DC" w:rsidRDefault="005764B9" w:rsidP="009E77FF">
      <w:pPr>
        <w:spacing w:before="120" w:after="120" w:line="276" w:lineRule="auto"/>
        <w:jc w:val="both"/>
        <w:rPr>
          <w:rFonts w:ascii="Noto Sans" w:hAnsi="Noto Sans" w:cs="Noto Sans"/>
          <w:sz w:val="20"/>
          <w:szCs w:val="20"/>
        </w:rPr>
      </w:pPr>
      <w:r w:rsidRPr="007715DC">
        <w:rPr>
          <w:rFonts w:ascii="Noto Sans" w:hAnsi="Noto Sans" w:cs="Noto Sans"/>
          <w:sz w:val="20"/>
          <w:szCs w:val="20"/>
        </w:rPr>
        <w:t>Es importante señalar que tal y como lo establece el marco jurídico que vincula a las diferentes instituciones del sector salud y el trabajo que realizan, la coordinación del Sistema Nacional de Salud estará a cargo de la Secretaría de Salud cuya misión es "Establecer las políticas de Estado para que la población ejerza su derecho a la protección a la salud" y a quien corresponde, entre otras atribuciones, definir y conducir la política nacional en materia de salud, coordinar los programas de servicios de salud de las dependencias y entidades de la Administración Pública Federal, así como la gestión, seguimiento y evaluación de los programas afines que, en su caso se determinen.</w:t>
      </w:r>
    </w:p>
    <w:p w:rsidR="001F5CF0" w:rsidRPr="007715DC" w:rsidRDefault="008C3694" w:rsidP="009E77FF">
      <w:pPr>
        <w:spacing w:before="120" w:after="120" w:line="276" w:lineRule="auto"/>
        <w:jc w:val="both"/>
        <w:rPr>
          <w:rFonts w:ascii="Noto Sans" w:hAnsi="Noto Sans" w:cs="Noto Sans"/>
          <w:sz w:val="20"/>
          <w:szCs w:val="20"/>
        </w:rPr>
      </w:pPr>
      <w:r>
        <w:rPr>
          <w:rFonts w:ascii="Noto Sans" w:hAnsi="Noto Sans" w:cs="Noto Sans"/>
          <w:sz w:val="20"/>
          <w:szCs w:val="20"/>
        </w:rPr>
        <w:t>E</w:t>
      </w:r>
      <w:r w:rsidR="00806D88">
        <w:rPr>
          <w:rFonts w:ascii="Noto Sans" w:hAnsi="Noto Sans" w:cs="Noto Sans"/>
          <w:sz w:val="20"/>
          <w:szCs w:val="20"/>
        </w:rPr>
        <w:t>l</w:t>
      </w:r>
      <w:r w:rsidR="001F5CF0" w:rsidRPr="007715DC">
        <w:rPr>
          <w:rFonts w:ascii="Noto Sans" w:hAnsi="Noto Sans" w:cs="Noto Sans"/>
          <w:sz w:val="20"/>
          <w:szCs w:val="20"/>
        </w:rPr>
        <w:t xml:space="preserve"> marco jurídico que vincula a las diferentes instituciones del sector salud y la coordinación del Sistema Nacional de Salud estará a cargo de la Secretaría de Salud, en este sentido y conforme a las facultades de la Comisión Coordinadora de los Institutos Nacionales de Salud y Hospitales Federales de Alta Especialidad (CCINSHAE), con base en la rectoría de la Secretaría de Salud en materia de Atención Médica de Alta Especialidad, tiene implementadas estrategias y acciones operativas para el cumplimiento de los objetivos y metas nacionales en materia de salud para la población, en particular a todas las personas que se encuentren en el país que no cuenten con seguridad social, las cuales se traducen en acciones concretas en las que se destaca la gestión oportuna y eficaz, prevaleciendo la calidad en sus procesos, en consideración a las acciones que se integran y se articulan para proveer productos y servicios y lograr resultados conforme a objetivos estratégicos institucionales, de ahí la necesidad de establecer el Programa presupuestario E031 “Atención a la Salud”, a través del cual se realiza el seguimiento al cumplimiento de las acciones en materia de atención a la salud, con calidad y seguridad en sus procesos, en sus entidades coordinadas que aplican el programa.</w:t>
      </w:r>
    </w:p>
    <w:p w:rsidR="005764B9" w:rsidRPr="007715DC" w:rsidRDefault="005764B9" w:rsidP="009E77FF">
      <w:pPr>
        <w:spacing w:before="120" w:after="120" w:line="276" w:lineRule="auto"/>
        <w:jc w:val="both"/>
        <w:rPr>
          <w:rFonts w:ascii="Noto Sans" w:hAnsi="Noto Sans" w:cs="Noto Sans"/>
          <w:sz w:val="20"/>
          <w:szCs w:val="20"/>
        </w:rPr>
      </w:pPr>
      <w:r w:rsidRPr="007715DC">
        <w:rPr>
          <w:rFonts w:ascii="Noto Sans" w:hAnsi="Noto Sans" w:cs="Noto Sans"/>
          <w:sz w:val="20"/>
          <w:szCs w:val="20"/>
        </w:rPr>
        <w:t>Este programa presupuesta</w:t>
      </w:r>
      <w:r w:rsidR="008C49CC" w:rsidRPr="007715DC">
        <w:rPr>
          <w:rFonts w:ascii="Noto Sans" w:hAnsi="Noto Sans" w:cs="Noto Sans"/>
          <w:sz w:val="20"/>
          <w:szCs w:val="20"/>
        </w:rPr>
        <w:t>rio</w:t>
      </w:r>
      <w:r w:rsidRPr="007715DC">
        <w:rPr>
          <w:rFonts w:ascii="Noto Sans" w:hAnsi="Noto Sans" w:cs="Noto Sans"/>
          <w:sz w:val="20"/>
          <w:szCs w:val="20"/>
        </w:rPr>
        <w:t xml:space="preserve"> E031 enfocado en la Atención a la salud se encuentra de igual forma alineado al Plan Nacional d</w:t>
      </w:r>
      <w:r w:rsidR="00DC53B2" w:rsidRPr="007715DC">
        <w:rPr>
          <w:rFonts w:ascii="Noto Sans" w:hAnsi="Noto Sans" w:cs="Noto Sans"/>
          <w:sz w:val="20"/>
          <w:szCs w:val="20"/>
        </w:rPr>
        <w:t>e Desarrollo 2025-2030, ya que</w:t>
      </w:r>
      <w:r w:rsidRPr="007715DC">
        <w:rPr>
          <w:rFonts w:ascii="Noto Sans" w:hAnsi="Noto Sans" w:cs="Noto Sans"/>
          <w:sz w:val="20"/>
          <w:szCs w:val="20"/>
        </w:rPr>
        <w:t xml:space="preserve"> la forma en la que se realizarán los objetivos:</w:t>
      </w:r>
    </w:p>
    <w:p w:rsidR="005764B9" w:rsidRPr="007715DC" w:rsidRDefault="005764B9" w:rsidP="005E6276">
      <w:pPr>
        <w:pStyle w:val="Prrafodelista"/>
        <w:numPr>
          <w:ilvl w:val="0"/>
          <w:numId w:val="2"/>
        </w:numPr>
        <w:spacing w:before="120" w:after="120" w:line="360" w:lineRule="auto"/>
        <w:jc w:val="both"/>
        <w:rPr>
          <w:rFonts w:ascii="Noto Sans" w:hAnsi="Noto Sans" w:cs="Noto Sans"/>
          <w:sz w:val="20"/>
          <w:szCs w:val="20"/>
        </w:rPr>
      </w:pPr>
      <w:r w:rsidRPr="007715DC">
        <w:rPr>
          <w:rFonts w:ascii="Noto Sans" w:hAnsi="Noto Sans" w:cs="Noto Sans"/>
          <w:sz w:val="20"/>
          <w:szCs w:val="20"/>
        </w:rPr>
        <w:t>2.7 Garantizar el derecho a la protección de la salud para toda la población mexicana mediante la consolidación y modernización del sistema de salud, con un enfoque de acceso universal que cierre las brechas de calidad y oportunidad, protegiendo el bienestar físico, mental y social de la población.</w:t>
      </w:r>
    </w:p>
    <w:p w:rsidR="001F5CF0" w:rsidRPr="007715DC" w:rsidRDefault="001F5CF0" w:rsidP="009E77FF">
      <w:pPr>
        <w:spacing w:before="120" w:after="120" w:line="276" w:lineRule="auto"/>
        <w:jc w:val="both"/>
        <w:rPr>
          <w:rFonts w:ascii="Noto Sans" w:hAnsi="Noto Sans" w:cs="Noto Sans"/>
          <w:sz w:val="20"/>
          <w:szCs w:val="20"/>
        </w:rPr>
      </w:pPr>
      <w:r w:rsidRPr="007715DC">
        <w:rPr>
          <w:rFonts w:ascii="Noto Sans" w:hAnsi="Noto Sans" w:cs="Noto Sans"/>
          <w:sz w:val="20"/>
          <w:szCs w:val="20"/>
        </w:rPr>
        <w:t>Es importante resaltar que el programa inició su operación en 200</w:t>
      </w:r>
      <w:r w:rsidR="008C49CC" w:rsidRPr="007715DC">
        <w:rPr>
          <w:rFonts w:ascii="Noto Sans" w:hAnsi="Noto Sans" w:cs="Noto Sans"/>
          <w:sz w:val="20"/>
          <w:szCs w:val="20"/>
        </w:rPr>
        <w:t>6</w:t>
      </w:r>
      <w:r w:rsidRPr="007715DC">
        <w:rPr>
          <w:rFonts w:ascii="Noto Sans" w:hAnsi="Noto Sans" w:cs="Noto Sans"/>
          <w:sz w:val="20"/>
          <w:szCs w:val="20"/>
        </w:rPr>
        <w:t xml:space="preserve"> bajo la denominación de “Prestación de Servicios en los Diferentes Niveles de Atención a la Salud”, y en 2016 su nombre cambio a “Atención a la Salud”, como un concepto general y no así a las acciones sustantivas aplicables al programa, como lo es contribuir a dar atención a la salud a la población. </w:t>
      </w:r>
    </w:p>
    <w:p w:rsidR="001F5CF0" w:rsidRPr="007715DC" w:rsidRDefault="001F5CF0" w:rsidP="009E77FF">
      <w:pPr>
        <w:spacing w:before="120" w:after="120" w:line="276" w:lineRule="auto"/>
        <w:jc w:val="both"/>
        <w:rPr>
          <w:rFonts w:ascii="Noto Sans" w:hAnsi="Noto Sans" w:cs="Noto Sans"/>
          <w:sz w:val="20"/>
          <w:szCs w:val="20"/>
        </w:rPr>
      </w:pPr>
      <w:r w:rsidRPr="007715DC">
        <w:rPr>
          <w:rFonts w:ascii="Noto Sans" w:hAnsi="Noto Sans" w:cs="Noto Sans"/>
          <w:sz w:val="20"/>
          <w:szCs w:val="20"/>
        </w:rPr>
        <w:lastRenderedPageBreak/>
        <w:t xml:space="preserve">En la parte social, durante los últimos años, se han presentado avances por mejorar el acceso al sistema público de salud y contribuir a responder a las necesidades en salud de las y los mexicanos, especialmente aquellos que carecen de alguna afiliación a la seguridad social. Sin embargo, el problema de acceso persiste. Según el Consejo Nacional de Evaluación de la Política de Desarrollo Social (CONEVAL), una persona en situación de carencia por acceso a los servicios de salud se define como aquella que “no cuenta con adscripción, afiliación o derecho a recibir servicios médicos de alguna institución que los presta, como </w:t>
      </w:r>
      <w:sdt>
        <w:sdtPr>
          <w:rPr>
            <w:rFonts w:ascii="Noto Sans" w:hAnsi="Noto Sans" w:cs="Noto Sans"/>
            <w:sz w:val="20"/>
            <w:szCs w:val="20"/>
          </w:rPr>
          <w:tag w:val="goog_rdk_7"/>
          <w:id w:val="175782106"/>
        </w:sdtPr>
        <w:sdtEndPr/>
        <w:sdtContent/>
      </w:sdt>
      <w:r w:rsidRPr="007715DC">
        <w:rPr>
          <w:rFonts w:ascii="Noto Sans" w:hAnsi="Noto Sans" w:cs="Noto Sans"/>
          <w:sz w:val="20"/>
          <w:szCs w:val="20"/>
        </w:rPr>
        <w:t>Seguro Popular, instituciones públicas como seguridad social, servicios médicos privados o bien, no reportó tener derecho a recibir los servicios que presta el Instituto de Salud para el Bienestar (INSABI)”.</w:t>
      </w:r>
      <w:r w:rsidR="009E77FF" w:rsidRPr="007715DC">
        <w:rPr>
          <w:rFonts w:ascii="Noto Sans" w:hAnsi="Noto Sans" w:cs="Noto Sans"/>
          <w:sz w:val="20"/>
          <w:szCs w:val="20"/>
        </w:rPr>
        <w:t xml:space="preserve"> </w:t>
      </w:r>
      <w:r w:rsidRPr="007715DC">
        <w:rPr>
          <w:rFonts w:ascii="Noto Sans" w:hAnsi="Noto Sans" w:cs="Noto Sans"/>
          <w:sz w:val="20"/>
          <w:szCs w:val="20"/>
        </w:rPr>
        <w:t xml:space="preserve">En la medición de 2022, la carencia de acceso a servicios de salud se mantuvo el mismo criterio a pesar de la reconfiguración del sistema de salud con la desaparición del INSABI y su sustitución por el IMSS-BIENESTAR . </w:t>
      </w:r>
      <w:r w:rsidR="00BE25AC" w:rsidRPr="007715DC">
        <w:rPr>
          <w:rFonts w:ascii="Noto Sans" w:hAnsi="Noto Sans" w:cs="Noto Sans"/>
          <w:sz w:val="20"/>
          <w:szCs w:val="20"/>
        </w:rPr>
        <w:t xml:space="preserve">En 2016, el CONEVAL calculó que el 15.6% de la población, es decir, 18.8 millones de personas, carecían de acceso a la salud. El modelo anterior, el Seguro Popular, no logró mejorar el acceso ni ampliar la cobertura, y careció de un enfoque preventivo de enfermedades. Esto se debió a la falta de expansión en los recursos materiales, humanos e infraestructura para garantizar la disponibilidad, acceso y calidad de los servicios de salud. </w:t>
      </w:r>
      <w:r w:rsidRPr="007715DC">
        <w:rPr>
          <w:rFonts w:ascii="Noto Sans" w:hAnsi="Noto Sans" w:cs="Noto Sans"/>
          <w:sz w:val="20"/>
          <w:szCs w:val="20"/>
        </w:rPr>
        <w:t>En 2018 la carencia al acceso a los servicios de salud representaba 16.2 %</w:t>
      </w:r>
      <w:r w:rsidR="009E77FF" w:rsidRPr="007715DC">
        <w:rPr>
          <w:rFonts w:ascii="Noto Sans" w:hAnsi="Noto Sans" w:cs="Noto Sans"/>
          <w:sz w:val="20"/>
          <w:szCs w:val="20"/>
        </w:rPr>
        <w:t xml:space="preserve"> </w:t>
      </w:r>
      <w:r w:rsidR="00BE25AC" w:rsidRPr="007715DC">
        <w:rPr>
          <w:rFonts w:ascii="Noto Sans" w:hAnsi="Noto Sans" w:cs="Noto Sans"/>
          <w:sz w:val="20"/>
          <w:szCs w:val="20"/>
        </w:rPr>
        <w:t>de la población</w:t>
      </w:r>
      <w:r w:rsidRPr="007715DC">
        <w:rPr>
          <w:rFonts w:ascii="Noto Sans" w:hAnsi="Noto Sans" w:cs="Noto Sans"/>
          <w:sz w:val="20"/>
          <w:szCs w:val="20"/>
        </w:rPr>
        <w:t xml:space="preserve">, mientras que para 2020 este se disparó hasta alcanzar 28.2%. Lo que equivale a un aproximado de 35.7 millones de mexicanos, el problema no se distribuyó de manera heterogénea en el país, pues quienes resultaron mayormente afectados fue la población de menores ingresos, es decir 20% de las y los habitantes y la </w:t>
      </w:r>
      <w:sdt>
        <w:sdtPr>
          <w:rPr>
            <w:rFonts w:ascii="Noto Sans" w:hAnsi="Noto Sans" w:cs="Noto Sans"/>
            <w:sz w:val="20"/>
            <w:szCs w:val="20"/>
          </w:rPr>
          <w:tag w:val="goog_rdk_8"/>
          <w:id w:val="-166099730"/>
        </w:sdtPr>
        <w:sdtEndPr/>
        <w:sdtContent>
          <w:sdt>
            <w:sdtPr>
              <w:rPr>
                <w:rFonts w:ascii="Noto Sans" w:hAnsi="Noto Sans" w:cs="Noto Sans"/>
                <w:sz w:val="20"/>
                <w:szCs w:val="20"/>
              </w:rPr>
              <w:tag w:val="goog_rdk_9"/>
              <w:id w:val="1652716995"/>
            </w:sdtPr>
            <w:sdtEndPr/>
            <w:sdtContent/>
          </w:sdt>
        </w:sdtContent>
      </w:sdt>
      <w:r w:rsidRPr="007715DC">
        <w:rPr>
          <w:rFonts w:ascii="Noto Sans" w:hAnsi="Noto Sans" w:cs="Noto Sans"/>
          <w:sz w:val="20"/>
          <w:szCs w:val="20"/>
        </w:rPr>
        <w:t xml:space="preserve">población en situación de pobreza extrema, la cual </w:t>
      </w:r>
      <w:r w:rsidR="00BE25AC" w:rsidRPr="007715DC">
        <w:rPr>
          <w:rFonts w:ascii="Noto Sans" w:hAnsi="Noto Sans" w:cs="Noto Sans"/>
          <w:sz w:val="20"/>
          <w:szCs w:val="20"/>
        </w:rPr>
        <w:t>pasó de</w:t>
      </w:r>
      <w:r w:rsidRPr="007715DC">
        <w:rPr>
          <w:rFonts w:ascii="Noto Sans" w:hAnsi="Noto Sans" w:cs="Noto Sans"/>
          <w:sz w:val="20"/>
          <w:szCs w:val="20"/>
        </w:rPr>
        <w:t xml:space="preserve"> 25.6% en 2019 a 57.3% en 2020.</w:t>
      </w:r>
      <w:r w:rsidR="00BE25AC" w:rsidRPr="007715DC">
        <w:rPr>
          <w:rFonts w:ascii="Noto Sans" w:hAnsi="Noto Sans" w:cs="Noto Sans"/>
          <w:sz w:val="20"/>
          <w:szCs w:val="20"/>
        </w:rPr>
        <w:t xml:space="preserve"> </w:t>
      </w:r>
    </w:p>
    <w:p w:rsidR="001F5CF0" w:rsidRDefault="001F5CF0" w:rsidP="009E77FF">
      <w:pPr>
        <w:spacing w:before="120" w:after="120" w:line="276" w:lineRule="auto"/>
        <w:jc w:val="both"/>
        <w:rPr>
          <w:rFonts w:ascii="Noto Sans" w:hAnsi="Noto Sans" w:cs="Noto Sans"/>
          <w:sz w:val="20"/>
          <w:szCs w:val="20"/>
        </w:rPr>
      </w:pPr>
      <w:r w:rsidRPr="007715DC">
        <w:rPr>
          <w:rFonts w:ascii="Noto Sans" w:hAnsi="Noto Sans" w:cs="Noto Sans"/>
          <w:sz w:val="20"/>
          <w:szCs w:val="20"/>
        </w:rPr>
        <w:t xml:space="preserve">Se ha identificado que existen grupos </w:t>
      </w:r>
      <w:sdt>
        <w:sdtPr>
          <w:rPr>
            <w:rFonts w:ascii="Noto Sans" w:hAnsi="Noto Sans" w:cs="Noto Sans"/>
            <w:sz w:val="20"/>
            <w:szCs w:val="20"/>
          </w:rPr>
          <w:tag w:val="goog_rdk_70"/>
          <w:id w:val="726187884"/>
        </w:sdtPr>
        <w:sdtEndPr/>
        <w:sdtContent>
          <w:r w:rsidRPr="007715DC">
            <w:rPr>
              <w:rFonts w:ascii="Noto Sans" w:hAnsi="Noto Sans" w:cs="Noto Sans"/>
              <w:sz w:val="20"/>
              <w:szCs w:val="20"/>
            </w:rPr>
            <w:t xml:space="preserve">de </w:t>
          </w:r>
        </w:sdtContent>
      </w:sdt>
      <w:r w:rsidRPr="007715DC">
        <w:rPr>
          <w:rFonts w:ascii="Noto Sans" w:hAnsi="Noto Sans" w:cs="Noto Sans"/>
          <w:sz w:val="20"/>
          <w:szCs w:val="20"/>
        </w:rPr>
        <w:t>poblaciones que por sus</w:t>
      </w:r>
      <w:r w:rsidR="00027373" w:rsidRPr="007715DC">
        <w:rPr>
          <w:rFonts w:ascii="Noto Sans" w:hAnsi="Noto Sans" w:cs="Noto Sans"/>
          <w:sz w:val="20"/>
          <w:szCs w:val="20"/>
        </w:rPr>
        <w:t xml:space="preserve"> </w:t>
      </w:r>
      <w:r w:rsidRPr="007715DC">
        <w:rPr>
          <w:rFonts w:ascii="Noto Sans" w:hAnsi="Noto Sans" w:cs="Noto Sans"/>
          <w:sz w:val="20"/>
          <w:szCs w:val="20"/>
        </w:rPr>
        <w:t>características sociodemográficas suelen requerir atención en salud con mayor frecuencia que otros, como son las y los infantes y preescolares, adultos mayores, población que vive con alguna discapacidad y la población indígena. Datos del CONEVAL, muestran que de 2016 a 2020, la carencia de acceso a los servicios de salud en estos grupos se incrementó,</w:t>
      </w:r>
      <w:r w:rsidR="009E77FF" w:rsidRPr="007715DC">
        <w:rPr>
          <w:rFonts w:ascii="Noto Sans" w:hAnsi="Noto Sans" w:cs="Noto Sans"/>
          <w:sz w:val="20"/>
          <w:szCs w:val="20"/>
        </w:rPr>
        <w:t xml:space="preserve"> </w:t>
      </w:r>
      <w:r w:rsidRPr="007715DC">
        <w:rPr>
          <w:rFonts w:ascii="Noto Sans" w:hAnsi="Noto Sans" w:cs="Noto Sans"/>
          <w:sz w:val="20"/>
          <w:szCs w:val="20"/>
        </w:rPr>
        <w:t>en</w:t>
      </w:r>
      <w:r w:rsidR="009E77FF" w:rsidRPr="007715DC">
        <w:rPr>
          <w:rFonts w:ascii="Noto Sans" w:hAnsi="Noto Sans" w:cs="Noto Sans"/>
          <w:sz w:val="20"/>
          <w:szCs w:val="20"/>
        </w:rPr>
        <w:t xml:space="preserve"> </w:t>
      </w:r>
      <w:r w:rsidRPr="007715DC">
        <w:rPr>
          <w:rFonts w:ascii="Noto Sans" w:hAnsi="Noto Sans" w:cs="Noto Sans"/>
          <w:sz w:val="20"/>
          <w:szCs w:val="20"/>
        </w:rPr>
        <w:t xml:space="preserve">niños y niñas menores de 5 años la carencia de acceso pasó de 15.8% a 31.3%, en personas mayores </w:t>
      </w:r>
      <w:sdt>
        <w:sdtPr>
          <w:rPr>
            <w:rFonts w:ascii="Noto Sans" w:hAnsi="Noto Sans" w:cs="Noto Sans"/>
            <w:sz w:val="20"/>
            <w:szCs w:val="20"/>
          </w:rPr>
          <w:tag w:val="goog_rdk_78"/>
          <w:id w:val="1486204668"/>
        </w:sdtPr>
        <w:sdtEndPr/>
        <w:sdtContent>
          <w:r w:rsidRPr="007715DC">
            <w:rPr>
              <w:rFonts w:ascii="Noto Sans" w:hAnsi="Noto Sans" w:cs="Noto Sans"/>
              <w:sz w:val="20"/>
              <w:szCs w:val="20"/>
            </w:rPr>
            <w:t>de</w:t>
          </w:r>
        </w:sdtContent>
      </w:sdt>
      <w:r w:rsidRPr="007715DC">
        <w:rPr>
          <w:rFonts w:ascii="Noto Sans" w:hAnsi="Noto Sans" w:cs="Noto Sans"/>
          <w:sz w:val="20"/>
          <w:szCs w:val="20"/>
        </w:rPr>
        <w:t xml:space="preserve"> 65 años de 9.5% a 18.7%, en población analfabeta la cifra se duplicó de 14.1% a 30.4% y la población indígena reportó mayor carencia en el acceso a los servicios de salud pasando de 15.1% a 32.8%.</w:t>
      </w:r>
    </w:p>
    <w:p w:rsidR="00A2360D" w:rsidRPr="007715DC" w:rsidRDefault="00A2360D" w:rsidP="00A2360D">
      <w:pPr>
        <w:spacing w:before="120" w:after="120" w:line="276" w:lineRule="auto"/>
        <w:jc w:val="both"/>
        <w:rPr>
          <w:rFonts w:ascii="Noto Sans" w:hAnsi="Noto Sans" w:cs="Noto Sans"/>
          <w:sz w:val="20"/>
          <w:szCs w:val="20"/>
        </w:rPr>
      </w:pPr>
      <w:r w:rsidRPr="007715DC">
        <w:rPr>
          <w:rFonts w:ascii="Noto Sans" w:hAnsi="Noto Sans" w:cs="Noto Sans"/>
          <w:sz w:val="20"/>
          <w:szCs w:val="20"/>
        </w:rPr>
        <w:t>A pesar de los esfuerzos nacionales para mejorar el acceso (y acercar los servicios de salud a población sin afiliación a alguna institución de seguridad social), durante el periodo 2018-2024, persistieron las brechas en el acceso a la atención de salud, especialmente entre esta población, para la atención de problemas que requieren servicios de alta especialidad.</w:t>
      </w:r>
    </w:p>
    <w:p w:rsidR="00A2360D" w:rsidRPr="007715DC" w:rsidRDefault="00A2360D" w:rsidP="00A2360D">
      <w:pPr>
        <w:spacing w:before="120" w:after="120" w:line="276" w:lineRule="auto"/>
        <w:jc w:val="both"/>
        <w:rPr>
          <w:rFonts w:ascii="Noto Sans" w:hAnsi="Noto Sans" w:cs="Noto Sans"/>
          <w:sz w:val="20"/>
          <w:szCs w:val="20"/>
        </w:rPr>
      </w:pPr>
      <w:r w:rsidRPr="007715DC">
        <w:rPr>
          <w:rFonts w:ascii="Noto Sans" w:hAnsi="Noto Sans" w:cs="Noto Sans"/>
          <w:sz w:val="20"/>
          <w:szCs w:val="20"/>
        </w:rPr>
        <w:t xml:space="preserve">Se ha documentado que, a pesar del aumento en la morbimortalidad por enfermedades no transmisibles como enfermedades cardiovasculares, diabetes mellitus, cáncer y neoplasias    en todos sus tipos, enfermedades del hígado, así como el incremento en los trastornos de salud mental, la demanda de servicios de tercer nivel, principalmente en los INS ha experimentado </w:t>
      </w:r>
      <w:r w:rsidRPr="007715DC">
        <w:rPr>
          <w:rFonts w:ascii="Noto Sans" w:hAnsi="Noto Sans" w:cs="Noto Sans"/>
          <w:sz w:val="20"/>
          <w:szCs w:val="20"/>
        </w:rPr>
        <w:lastRenderedPageBreak/>
        <w:t xml:space="preserve">una reducción. Según las fuentes oficiales de la Secretaría de Salud, los egresos hospitalarios en INS pasaron de 37,440 en 2021 a 45,453 en 2023 y, el porcentaje de consulta externa especializada en la Ciudad de México pasó de 2,788,230 (3.14%) a 1,086,962 (2.13%) de 2019 a 2022, respectivamente (Tabla 1). </w:t>
      </w:r>
    </w:p>
    <w:p w:rsidR="00A2360D" w:rsidRPr="007715DC" w:rsidRDefault="00A2360D" w:rsidP="00A2360D">
      <w:pPr>
        <w:spacing w:before="120" w:after="120" w:line="276" w:lineRule="auto"/>
        <w:jc w:val="both"/>
        <w:rPr>
          <w:rFonts w:ascii="Noto Sans" w:hAnsi="Noto Sans" w:cs="Noto Sans"/>
          <w:sz w:val="20"/>
          <w:szCs w:val="20"/>
        </w:rPr>
      </w:pPr>
      <w:r w:rsidRPr="007715DC">
        <w:rPr>
          <w:rFonts w:ascii="Noto Sans" w:hAnsi="Noto Sans" w:cs="Noto Sans"/>
          <w:sz w:val="20"/>
          <w:szCs w:val="20"/>
        </w:rPr>
        <w:t xml:space="preserve">La población que utiliza en mayor proporción estos servicios son el grupo de mujeres y adultos de 15 a 64 años, los cuales constituyen aproximadamente el 50% de los egresos hospitalarios. </w:t>
      </w:r>
    </w:p>
    <w:p w:rsidR="00A2360D" w:rsidRPr="007715DC" w:rsidRDefault="00A2360D" w:rsidP="00A2360D">
      <w:pPr>
        <w:spacing w:before="120" w:after="120" w:line="276" w:lineRule="auto"/>
        <w:jc w:val="both"/>
        <w:rPr>
          <w:rFonts w:ascii="Noto Sans" w:hAnsi="Noto Sans" w:cs="Noto Sans"/>
          <w:sz w:val="20"/>
          <w:szCs w:val="20"/>
        </w:rPr>
      </w:pPr>
    </w:p>
    <w:p w:rsidR="00A2360D" w:rsidRPr="007715DC" w:rsidRDefault="00A2360D" w:rsidP="00A2360D">
      <w:pPr>
        <w:spacing w:before="120" w:after="120" w:line="276" w:lineRule="auto"/>
        <w:jc w:val="both"/>
        <w:rPr>
          <w:rFonts w:ascii="Noto Sans" w:hAnsi="Noto Sans" w:cs="Noto Sans"/>
          <w:sz w:val="20"/>
          <w:szCs w:val="20"/>
        </w:rPr>
      </w:pPr>
      <w:r w:rsidRPr="007715DC">
        <w:rPr>
          <w:rFonts w:ascii="Noto Sans" w:hAnsi="Noto Sans" w:cs="Noto Sans"/>
          <w:sz w:val="20"/>
          <w:szCs w:val="20"/>
        </w:rPr>
        <w:t>La información de los egresos hospitalarios (2019-2023) permite conocer la demanda de atención de los servicios de hospitalización, de los Hospitales e Institutos de Alta Especialidad, en el ámbito de los Institutos Nacionales de Salud, el Instituto Nacional de Cancerología obtuvo una demanda promedio de 7,077 personas egresadas por año, mientras que los Hospitales Federales de Referencia se encuentran el Hospital General de México "Dr. Eduardo Liceaga", con una población promedio de 31,978 personas. Por último, los Hospitales de la Secretaría de Salud se encuentran el Hospital de la Mujer con una población promedio en egresos de 59,688 personas.</w:t>
      </w:r>
    </w:p>
    <w:p w:rsidR="00A2360D" w:rsidRPr="007715DC" w:rsidRDefault="00A2360D" w:rsidP="00A2360D">
      <w:pPr>
        <w:spacing w:after="160" w:line="259" w:lineRule="auto"/>
        <w:rPr>
          <w:rFonts w:ascii="Noto Sans" w:hAnsi="Noto Sans" w:cs="Noto Sans"/>
          <w:sz w:val="20"/>
          <w:szCs w:val="20"/>
        </w:rPr>
      </w:pPr>
      <w:r w:rsidRPr="007715DC">
        <w:rPr>
          <w:rFonts w:ascii="Noto Sans" w:hAnsi="Noto Sans" w:cs="Noto Sans"/>
          <w:sz w:val="20"/>
          <w:szCs w:val="20"/>
        </w:rPr>
        <w:br w:type="page"/>
      </w:r>
    </w:p>
    <w:p w:rsidR="00A2360D" w:rsidRPr="007715DC" w:rsidRDefault="00A2360D" w:rsidP="00A2360D">
      <w:pPr>
        <w:spacing w:line="360" w:lineRule="auto"/>
        <w:ind w:hanging="2"/>
        <w:jc w:val="both"/>
        <w:rPr>
          <w:rFonts w:ascii="Noto Sans" w:eastAsia="Times New Roman" w:hAnsi="Noto Sans" w:cs="Noto Sans"/>
          <w:color w:val="000000"/>
          <w:sz w:val="20"/>
          <w:szCs w:val="20"/>
        </w:rPr>
      </w:pPr>
      <w:r w:rsidRPr="007715DC">
        <w:rPr>
          <w:rFonts w:ascii="Noto Sans" w:eastAsia="Times New Roman" w:hAnsi="Noto Sans" w:cs="Noto Sans"/>
          <w:b/>
          <w:color w:val="000000"/>
          <w:sz w:val="20"/>
          <w:szCs w:val="20"/>
        </w:rPr>
        <w:lastRenderedPageBreak/>
        <w:t>Tabla 1</w:t>
      </w:r>
      <w:r w:rsidRPr="007715DC">
        <w:rPr>
          <w:rFonts w:ascii="Noto Sans" w:eastAsia="Times New Roman" w:hAnsi="Noto Sans" w:cs="Noto Sans"/>
          <w:color w:val="000000"/>
          <w:sz w:val="20"/>
          <w:szCs w:val="20"/>
        </w:rPr>
        <w:t>. Egresos hospitalarios – México, 2021-2023</w:t>
      </w:r>
    </w:p>
    <w:tbl>
      <w:tblPr>
        <w:tblW w:w="9420" w:type="dxa"/>
        <w:tblCellMar>
          <w:left w:w="70" w:type="dxa"/>
          <w:right w:w="70" w:type="dxa"/>
        </w:tblCellMar>
        <w:tblLook w:val="04A0" w:firstRow="1" w:lastRow="0" w:firstColumn="1" w:lastColumn="0" w:noHBand="0" w:noVBand="1"/>
      </w:tblPr>
      <w:tblGrid>
        <w:gridCol w:w="3831"/>
        <w:gridCol w:w="1225"/>
        <w:gridCol w:w="576"/>
        <w:gridCol w:w="1225"/>
        <w:gridCol w:w="576"/>
        <w:gridCol w:w="1225"/>
        <w:gridCol w:w="762"/>
      </w:tblGrid>
      <w:tr w:rsidR="00A2360D" w:rsidRPr="00AA6476" w:rsidTr="00A2360D">
        <w:trPr>
          <w:trHeight w:val="300"/>
          <w:tblHeader/>
        </w:trPr>
        <w:tc>
          <w:tcPr>
            <w:tcW w:w="3831" w:type="dxa"/>
            <w:vMerge w:val="restart"/>
            <w:tcBorders>
              <w:top w:val="single" w:sz="8" w:space="0" w:color="BFBFBF"/>
              <w:left w:val="single" w:sz="8" w:space="0" w:color="BFBFBF"/>
              <w:bottom w:val="single" w:sz="8" w:space="0" w:color="BFBFBF"/>
              <w:right w:val="single" w:sz="8" w:space="0" w:color="BFBFBF"/>
            </w:tcBorders>
            <w:shd w:val="clear" w:color="000000" w:fill="9A0003"/>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Descripción</w:t>
            </w:r>
          </w:p>
        </w:tc>
        <w:tc>
          <w:tcPr>
            <w:tcW w:w="1801" w:type="dxa"/>
            <w:gridSpan w:val="2"/>
            <w:tcBorders>
              <w:top w:val="single" w:sz="8" w:space="0" w:color="BFBFBF"/>
              <w:left w:val="nil"/>
              <w:bottom w:val="single" w:sz="8" w:space="0" w:color="BFBFBF"/>
              <w:right w:val="single" w:sz="8" w:space="0" w:color="BFBFBF"/>
            </w:tcBorders>
            <w:shd w:val="clear" w:color="000000" w:fill="9A0003"/>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2021</w:t>
            </w:r>
          </w:p>
        </w:tc>
        <w:tc>
          <w:tcPr>
            <w:tcW w:w="1801" w:type="dxa"/>
            <w:gridSpan w:val="2"/>
            <w:tcBorders>
              <w:top w:val="single" w:sz="8" w:space="0" w:color="BFBFBF"/>
              <w:left w:val="nil"/>
              <w:bottom w:val="single" w:sz="8" w:space="0" w:color="BFBFBF"/>
              <w:right w:val="single" w:sz="8" w:space="0" w:color="BFBFBF"/>
            </w:tcBorders>
            <w:shd w:val="clear" w:color="000000" w:fill="9A0003"/>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2022</w:t>
            </w:r>
          </w:p>
        </w:tc>
        <w:tc>
          <w:tcPr>
            <w:tcW w:w="1987" w:type="dxa"/>
            <w:gridSpan w:val="2"/>
            <w:tcBorders>
              <w:top w:val="single" w:sz="8" w:space="0" w:color="BFBFBF"/>
              <w:left w:val="nil"/>
              <w:bottom w:val="single" w:sz="8" w:space="0" w:color="BFBFBF"/>
              <w:right w:val="single" w:sz="8" w:space="0" w:color="BFBFBF"/>
            </w:tcBorders>
            <w:shd w:val="clear" w:color="000000" w:fill="9A0003"/>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2023</w:t>
            </w:r>
          </w:p>
        </w:tc>
      </w:tr>
      <w:tr w:rsidR="00A2360D" w:rsidRPr="00AA6476" w:rsidTr="00A2360D">
        <w:trPr>
          <w:trHeight w:val="300"/>
          <w:tblHeader/>
        </w:trPr>
        <w:tc>
          <w:tcPr>
            <w:tcW w:w="3831" w:type="dxa"/>
            <w:vMerge/>
            <w:tcBorders>
              <w:top w:val="single" w:sz="8" w:space="0" w:color="BFBFBF"/>
              <w:left w:val="single" w:sz="8" w:space="0" w:color="BFBFBF"/>
              <w:bottom w:val="single" w:sz="8" w:space="0" w:color="BFBFBF"/>
              <w:right w:val="single" w:sz="8" w:space="0" w:color="BFBFBF"/>
            </w:tcBorders>
            <w:vAlign w:val="center"/>
            <w:hideMark/>
          </w:tcPr>
          <w:p w:rsidR="00A2360D" w:rsidRPr="00AA6476" w:rsidRDefault="00A2360D" w:rsidP="00A2360D">
            <w:pPr>
              <w:rPr>
                <w:rFonts w:ascii="Noto Sans" w:eastAsia="Times New Roman" w:hAnsi="Noto Sans" w:cs="Noto Sans"/>
                <w:b/>
                <w:bCs/>
                <w:color w:val="FFFFFF"/>
                <w:sz w:val="16"/>
                <w:szCs w:val="16"/>
              </w:rPr>
            </w:pPr>
          </w:p>
        </w:tc>
        <w:tc>
          <w:tcPr>
            <w:tcW w:w="1225" w:type="dxa"/>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n</w:t>
            </w:r>
          </w:p>
        </w:tc>
        <w:tc>
          <w:tcPr>
            <w:tcW w:w="576" w:type="dxa"/>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w:t>
            </w:r>
          </w:p>
        </w:tc>
        <w:tc>
          <w:tcPr>
            <w:tcW w:w="1225" w:type="dxa"/>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N</w:t>
            </w:r>
          </w:p>
        </w:tc>
        <w:tc>
          <w:tcPr>
            <w:tcW w:w="576" w:type="dxa"/>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w:t>
            </w:r>
          </w:p>
        </w:tc>
        <w:tc>
          <w:tcPr>
            <w:tcW w:w="1225" w:type="dxa"/>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n</w:t>
            </w:r>
          </w:p>
        </w:tc>
        <w:tc>
          <w:tcPr>
            <w:tcW w:w="762" w:type="dxa"/>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w:t>
            </w:r>
          </w:p>
        </w:tc>
      </w:tr>
      <w:tr w:rsidR="00A2360D" w:rsidRPr="00AA6476" w:rsidTr="00A2360D">
        <w:trPr>
          <w:trHeight w:val="300"/>
          <w:tblHeader/>
        </w:trPr>
        <w:tc>
          <w:tcPr>
            <w:tcW w:w="383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 xml:space="preserve">Total de egresos hospitalarios (nacional) </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1,958,234</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2,324,904</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2,365,446</w:t>
            </w:r>
          </w:p>
        </w:tc>
        <w:tc>
          <w:tcPr>
            <w:tcW w:w="76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right="9"/>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r>
      <w:tr w:rsidR="00A2360D" w:rsidRPr="00AA6476" w:rsidTr="00A2360D">
        <w:trPr>
          <w:trHeight w:val="300"/>
          <w:tblHeader/>
        </w:trPr>
        <w:tc>
          <w:tcPr>
            <w:tcW w:w="3831" w:type="dxa"/>
            <w:tcBorders>
              <w:top w:val="nil"/>
              <w:left w:val="single" w:sz="8" w:space="0" w:color="BFBFBF"/>
              <w:bottom w:val="single" w:sz="8" w:space="0" w:color="BFBFBF"/>
              <w:right w:val="single" w:sz="8" w:space="0" w:color="BFBFBF"/>
            </w:tcBorders>
            <w:shd w:val="clear" w:color="000000" w:fill="E8E8E8"/>
            <w:vAlign w:val="center"/>
            <w:hideMark/>
          </w:tcPr>
          <w:p w:rsidR="00A2360D" w:rsidRPr="00AA6476" w:rsidRDefault="00A2360D" w:rsidP="00A2360D">
            <w:pP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Sexo*</w:t>
            </w:r>
          </w:p>
        </w:tc>
        <w:tc>
          <w:tcPr>
            <w:tcW w:w="1225" w:type="dxa"/>
            <w:tcBorders>
              <w:top w:val="nil"/>
              <w:left w:val="nil"/>
              <w:bottom w:val="single" w:sz="8" w:space="0" w:color="BFBFBF"/>
              <w:right w:val="single" w:sz="8" w:space="0" w:color="BFBFBF"/>
            </w:tcBorders>
            <w:shd w:val="clear" w:color="000000" w:fill="E8E8E8"/>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576" w:type="dxa"/>
            <w:tcBorders>
              <w:top w:val="nil"/>
              <w:left w:val="nil"/>
              <w:bottom w:val="single" w:sz="8" w:space="0" w:color="BFBFBF"/>
              <w:right w:val="single" w:sz="8" w:space="0" w:color="BFBFBF"/>
            </w:tcBorders>
            <w:shd w:val="clear" w:color="000000" w:fill="E8E8E8"/>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1225" w:type="dxa"/>
            <w:tcBorders>
              <w:top w:val="nil"/>
              <w:left w:val="nil"/>
              <w:bottom w:val="single" w:sz="8" w:space="0" w:color="BFBFBF"/>
              <w:right w:val="single" w:sz="8" w:space="0" w:color="BFBFBF"/>
            </w:tcBorders>
            <w:shd w:val="clear" w:color="000000" w:fill="E8E8E8"/>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576" w:type="dxa"/>
            <w:tcBorders>
              <w:top w:val="nil"/>
              <w:left w:val="nil"/>
              <w:bottom w:val="single" w:sz="8" w:space="0" w:color="BFBFBF"/>
              <w:right w:val="single" w:sz="8" w:space="0" w:color="BFBFBF"/>
            </w:tcBorders>
            <w:shd w:val="clear" w:color="000000" w:fill="E8E8E8"/>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1225" w:type="dxa"/>
            <w:tcBorders>
              <w:top w:val="nil"/>
              <w:left w:val="nil"/>
              <w:bottom w:val="single" w:sz="8" w:space="0" w:color="BFBFBF"/>
              <w:right w:val="single" w:sz="8" w:space="0" w:color="BFBFBF"/>
            </w:tcBorders>
            <w:shd w:val="clear" w:color="000000" w:fill="E8E8E8"/>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762" w:type="dxa"/>
            <w:tcBorders>
              <w:top w:val="nil"/>
              <w:left w:val="nil"/>
              <w:bottom w:val="single" w:sz="8" w:space="0" w:color="BFBFBF"/>
              <w:right w:val="single" w:sz="8" w:space="0" w:color="BFBFBF"/>
            </w:tcBorders>
            <w:shd w:val="clear" w:color="000000" w:fill="E8E8E8"/>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r>
      <w:tr w:rsidR="00A2360D" w:rsidRPr="00AA6476" w:rsidTr="00A2360D">
        <w:trPr>
          <w:trHeight w:val="300"/>
          <w:tblHeader/>
        </w:trPr>
        <w:tc>
          <w:tcPr>
            <w:tcW w:w="383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Masculino</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640,095</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32.7</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737,898</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31.7</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777,997</w:t>
            </w:r>
          </w:p>
        </w:tc>
        <w:tc>
          <w:tcPr>
            <w:tcW w:w="76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32.9</w:t>
            </w:r>
          </w:p>
        </w:tc>
      </w:tr>
      <w:tr w:rsidR="00A2360D" w:rsidRPr="00AA6476" w:rsidTr="00A2360D">
        <w:trPr>
          <w:trHeight w:val="300"/>
          <w:tblHeader/>
        </w:trPr>
        <w:tc>
          <w:tcPr>
            <w:tcW w:w="383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Femenino</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1,317,364</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67.3</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xml:space="preserve"> 1,585,84</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68.2</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1,582,208</w:t>
            </w:r>
          </w:p>
        </w:tc>
        <w:tc>
          <w:tcPr>
            <w:tcW w:w="76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66.9</w:t>
            </w:r>
          </w:p>
        </w:tc>
      </w:tr>
      <w:tr w:rsidR="00A2360D" w:rsidRPr="00AA6476" w:rsidTr="00A2360D">
        <w:trPr>
          <w:trHeight w:val="300"/>
          <w:tblHeader/>
        </w:trPr>
        <w:tc>
          <w:tcPr>
            <w:tcW w:w="3831" w:type="dxa"/>
            <w:tcBorders>
              <w:top w:val="nil"/>
              <w:left w:val="single" w:sz="8" w:space="0" w:color="BFBFBF"/>
              <w:bottom w:val="single" w:sz="8" w:space="0" w:color="BFBFBF"/>
              <w:right w:val="single" w:sz="8" w:space="0" w:color="BFBFBF"/>
            </w:tcBorders>
            <w:shd w:val="clear" w:color="000000" w:fill="E8E8E8"/>
            <w:vAlign w:val="center"/>
            <w:hideMark/>
          </w:tcPr>
          <w:p w:rsidR="00A2360D" w:rsidRPr="00AA6476" w:rsidRDefault="00A2360D" w:rsidP="00A2360D">
            <w:pP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Etnicidad*</w:t>
            </w:r>
          </w:p>
        </w:tc>
        <w:tc>
          <w:tcPr>
            <w:tcW w:w="1225" w:type="dxa"/>
            <w:tcBorders>
              <w:top w:val="nil"/>
              <w:left w:val="nil"/>
              <w:bottom w:val="single" w:sz="8" w:space="0" w:color="BFBFBF"/>
              <w:right w:val="single" w:sz="8" w:space="0" w:color="BFBFBF"/>
            </w:tcBorders>
            <w:shd w:val="clear" w:color="000000" w:fill="E8E8E8"/>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576" w:type="dxa"/>
            <w:tcBorders>
              <w:top w:val="nil"/>
              <w:left w:val="nil"/>
              <w:bottom w:val="single" w:sz="8" w:space="0" w:color="BFBFBF"/>
              <w:right w:val="single" w:sz="8" w:space="0" w:color="BFBFBF"/>
            </w:tcBorders>
            <w:shd w:val="clear" w:color="000000" w:fill="E8E8E8"/>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1225" w:type="dxa"/>
            <w:tcBorders>
              <w:top w:val="nil"/>
              <w:left w:val="nil"/>
              <w:bottom w:val="single" w:sz="8" w:space="0" w:color="BFBFBF"/>
              <w:right w:val="single" w:sz="8" w:space="0" w:color="BFBFBF"/>
            </w:tcBorders>
            <w:shd w:val="clear" w:color="000000" w:fill="E8E8E8"/>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576" w:type="dxa"/>
            <w:tcBorders>
              <w:top w:val="nil"/>
              <w:left w:val="nil"/>
              <w:bottom w:val="single" w:sz="8" w:space="0" w:color="BFBFBF"/>
              <w:right w:val="single" w:sz="8" w:space="0" w:color="BFBFBF"/>
            </w:tcBorders>
            <w:shd w:val="clear" w:color="000000" w:fill="E8E8E8"/>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1225" w:type="dxa"/>
            <w:tcBorders>
              <w:top w:val="nil"/>
              <w:left w:val="nil"/>
              <w:bottom w:val="single" w:sz="8" w:space="0" w:color="BFBFBF"/>
              <w:right w:val="single" w:sz="8" w:space="0" w:color="BFBFBF"/>
            </w:tcBorders>
            <w:shd w:val="clear" w:color="000000" w:fill="E8E8E8"/>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762" w:type="dxa"/>
            <w:tcBorders>
              <w:top w:val="nil"/>
              <w:left w:val="nil"/>
              <w:bottom w:val="single" w:sz="8" w:space="0" w:color="BFBFBF"/>
              <w:right w:val="single" w:sz="8" w:space="0" w:color="BFBFBF"/>
            </w:tcBorders>
            <w:shd w:val="clear" w:color="000000" w:fill="E8E8E8"/>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r>
      <w:tr w:rsidR="00A2360D" w:rsidRPr="00AA6476" w:rsidTr="00A2360D">
        <w:trPr>
          <w:trHeight w:val="300"/>
          <w:tblHeader/>
        </w:trPr>
        <w:tc>
          <w:tcPr>
            <w:tcW w:w="383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Si</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62,878</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3.21</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115,685</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4.98</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123,571</w:t>
            </w:r>
          </w:p>
        </w:tc>
        <w:tc>
          <w:tcPr>
            <w:tcW w:w="76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5.22</w:t>
            </w:r>
          </w:p>
        </w:tc>
      </w:tr>
      <w:tr w:rsidR="00A2360D" w:rsidRPr="00AA6476" w:rsidTr="00A2360D">
        <w:trPr>
          <w:trHeight w:val="300"/>
          <w:tblHeader/>
        </w:trPr>
        <w:tc>
          <w:tcPr>
            <w:tcW w:w="383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No</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1,890,229</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96.5</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2,209,219</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95</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2,241,872</w:t>
            </w:r>
          </w:p>
        </w:tc>
        <w:tc>
          <w:tcPr>
            <w:tcW w:w="76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94.8</w:t>
            </w:r>
          </w:p>
        </w:tc>
      </w:tr>
      <w:tr w:rsidR="00A2360D" w:rsidRPr="00AA6476" w:rsidTr="00A2360D">
        <w:trPr>
          <w:trHeight w:val="804"/>
          <w:tblHeader/>
        </w:trPr>
        <w:tc>
          <w:tcPr>
            <w:tcW w:w="383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 xml:space="preserve">Egresos hospitalarios en CDMX </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113,945</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5.82</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130,605</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5.62</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126,647</w:t>
            </w:r>
          </w:p>
        </w:tc>
        <w:tc>
          <w:tcPr>
            <w:tcW w:w="76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5.35</w:t>
            </w:r>
          </w:p>
        </w:tc>
      </w:tr>
      <w:tr w:rsidR="00A2360D" w:rsidRPr="00AA6476" w:rsidTr="00A2360D">
        <w:trPr>
          <w:trHeight w:val="300"/>
          <w:tblHeader/>
        </w:trPr>
        <w:tc>
          <w:tcPr>
            <w:tcW w:w="383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Egresos hospitalarios en Estado de México</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253,454</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12.9</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235,961</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10.2</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236,320</w:t>
            </w:r>
          </w:p>
        </w:tc>
        <w:tc>
          <w:tcPr>
            <w:tcW w:w="76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9.99</w:t>
            </w:r>
          </w:p>
        </w:tc>
      </w:tr>
      <w:tr w:rsidR="00A2360D" w:rsidRPr="00AA6476" w:rsidTr="00A2360D">
        <w:trPr>
          <w:trHeight w:val="300"/>
          <w:tblHeader/>
        </w:trPr>
        <w:tc>
          <w:tcPr>
            <w:tcW w:w="383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Egresos Programa E031</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167,694</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8.56</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193,012</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8.30</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209,680</w:t>
            </w:r>
          </w:p>
        </w:tc>
        <w:tc>
          <w:tcPr>
            <w:tcW w:w="76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8.86</w:t>
            </w:r>
          </w:p>
        </w:tc>
      </w:tr>
      <w:tr w:rsidR="00A2360D" w:rsidRPr="00AA6476" w:rsidTr="00A2360D">
        <w:trPr>
          <w:trHeight w:val="300"/>
          <w:tblHeader/>
        </w:trPr>
        <w:tc>
          <w:tcPr>
            <w:tcW w:w="383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Egresos Institutos Nacionales de Salud</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37,440</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1.91</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43,062</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1.85</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45,453</w:t>
            </w:r>
          </w:p>
        </w:tc>
        <w:tc>
          <w:tcPr>
            <w:tcW w:w="76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1.92</w:t>
            </w:r>
          </w:p>
        </w:tc>
      </w:tr>
      <w:tr w:rsidR="00A2360D" w:rsidRPr="00AA6476" w:rsidTr="00A2360D">
        <w:trPr>
          <w:trHeight w:val="300"/>
          <w:tblHeader/>
        </w:trPr>
        <w:tc>
          <w:tcPr>
            <w:tcW w:w="383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Egresos HFR</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46,185</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2.36</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63,406</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2.73</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72,466</w:t>
            </w:r>
          </w:p>
        </w:tc>
        <w:tc>
          <w:tcPr>
            <w:tcW w:w="76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3.06</w:t>
            </w:r>
          </w:p>
        </w:tc>
      </w:tr>
      <w:tr w:rsidR="00A2360D" w:rsidRPr="00AA6476" w:rsidTr="00A2360D">
        <w:trPr>
          <w:trHeight w:val="300"/>
          <w:tblHeader/>
        </w:trPr>
        <w:tc>
          <w:tcPr>
            <w:tcW w:w="383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Egresos HRAE</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21,827</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1.11</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26,909</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1.16</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19,758</w:t>
            </w:r>
          </w:p>
        </w:tc>
        <w:tc>
          <w:tcPr>
            <w:tcW w:w="76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0.84</w:t>
            </w:r>
          </w:p>
        </w:tc>
      </w:tr>
      <w:tr w:rsidR="00A2360D" w:rsidRPr="00AA6476" w:rsidTr="00A2360D">
        <w:trPr>
          <w:trHeight w:val="300"/>
          <w:tblHeader/>
        </w:trPr>
        <w:tc>
          <w:tcPr>
            <w:tcW w:w="383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Egresos Hospitales de la SS</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62,242</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3.18</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59,635</w:t>
            </w:r>
          </w:p>
        </w:tc>
        <w:tc>
          <w:tcPr>
            <w:tcW w:w="576"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2.57</w:t>
            </w:r>
          </w:p>
        </w:tc>
        <w:tc>
          <w:tcPr>
            <w:tcW w:w="1225"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72,003</w:t>
            </w:r>
          </w:p>
        </w:tc>
        <w:tc>
          <w:tcPr>
            <w:tcW w:w="76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3.04</w:t>
            </w:r>
          </w:p>
        </w:tc>
      </w:tr>
    </w:tbl>
    <w:p w:rsidR="00A2360D" w:rsidRPr="007715DC" w:rsidRDefault="00A2360D" w:rsidP="00A2360D">
      <w:pPr>
        <w:spacing w:line="276" w:lineRule="auto"/>
        <w:ind w:hanging="2"/>
        <w:rPr>
          <w:rFonts w:ascii="Noto Sans" w:eastAsia="Times" w:hAnsi="Noto Sans" w:cs="Noto Sans"/>
          <w:color w:val="000000"/>
          <w:sz w:val="16"/>
          <w:szCs w:val="20"/>
        </w:rPr>
      </w:pPr>
      <w:r w:rsidRPr="007715DC">
        <w:rPr>
          <w:rFonts w:ascii="Noto Sans" w:eastAsia="Times" w:hAnsi="Noto Sans" w:cs="Noto Sans"/>
          <w:i/>
          <w:color w:val="000000"/>
          <w:sz w:val="16"/>
          <w:szCs w:val="20"/>
        </w:rPr>
        <w:t xml:space="preserve">HRAE: Hospitales Regionales de Alta Especialidad; </w:t>
      </w:r>
    </w:p>
    <w:p w:rsidR="00A2360D" w:rsidRPr="007715DC" w:rsidRDefault="00A2360D" w:rsidP="00A2360D">
      <w:pPr>
        <w:spacing w:line="276" w:lineRule="auto"/>
        <w:ind w:hanging="2"/>
        <w:rPr>
          <w:rFonts w:ascii="Noto Sans" w:eastAsia="Times" w:hAnsi="Noto Sans" w:cs="Noto Sans"/>
          <w:color w:val="000000"/>
          <w:sz w:val="16"/>
          <w:szCs w:val="20"/>
        </w:rPr>
      </w:pPr>
      <w:r w:rsidRPr="007715DC">
        <w:rPr>
          <w:rFonts w:ascii="Noto Sans" w:eastAsia="Times" w:hAnsi="Noto Sans" w:cs="Noto Sans"/>
          <w:i/>
          <w:color w:val="000000"/>
          <w:sz w:val="16"/>
          <w:szCs w:val="20"/>
        </w:rPr>
        <w:t>HFR: Hospitales Federales de Referencia</w:t>
      </w:r>
    </w:p>
    <w:p w:rsidR="00A2360D" w:rsidRPr="007715DC" w:rsidRDefault="00A2360D" w:rsidP="00A2360D">
      <w:pPr>
        <w:spacing w:line="276" w:lineRule="auto"/>
        <w:ind w:hanging="2"/>
        <w:rPr>
          <w:rFonts w:ascii="Noto Sans" w:eastAsia="Times" w:hAnsi="Noto Sans" w:cs="Noto Sans"/>
          <w:i/>
          <w:color w:val="000000"/>
          <w:sz w:val="16"/>
          <w:szCs w:val="20"/>
        </w:rPr>
      </w:pPr>
      <w:r w:rsidRPr="007715DC">
        <w:rPr>
          <w:rFonts w:ascii="Noto Sans" w:eastAsia="Times" w:hAnsi="Noto Sans" w:cs="Noto Sans"/>
          <w:i/>
          <w:color w:val="000000"/>
          <w:sz w:val="16"/>
          <w:szCs w:val="20"/>
        </w:rPr>
        <w:t>SS: Secretaría de Salud</w:t>
      </w:r>
    </w:p>
    <w:p w:rsidR="00A2360D" w:rsidRPr="007715DC" w:rsidRDefault="00A2360D" w:rsidP="00A2360D">
      <w:pPr>
        <w:spacing w:line="276" w:lineRule="auto"/>
        <w:ind w:hanging="2"/>
        <w:rPr>
          <w:rFonts w:ascii="Noto Sans" w:eastAsia="Times" w:hAnsi="Noto Sans" w:cs="Noto Sans"/>
          <w:i/>
          <w:color w:val="000000"/>
          <w:sz w:val="16"/>
          <w:szCs w:val="20"/>
        </w:rPr>
      </w:pPr>
      <w:r w:rsidRPr="007715DC">
        <w:rPr>
          <w:rFonts w:ascii="Noto Sans" w:eastAsia="Times" w:hAnsi="Noto Sans" w:cs="Noto Sans"/>
          <w:i/>
          <w:color w:val="000000"/>
          <w:sz w:val="16"/>
          <w:szCs w:val="20"/>
        </w:rPr>
        <w:t>*Registros incompletos</w:t>
      </w:r>
    </w:p>
    <w:p w:rsidR="00A2360D" w:rsidRPr="007715DC" w:rsidRDefault="00A2360D" w:rsidP="00A2360D">
      <w:pPr>
        <w:spacing w:before="120" w:after="120" w:line="276" w:lineRule="auto"/>
        <w:jc w:val="both"/>
        <w:rPr>
          <w:rFonts w:ascii="Noto Sans" w:eastAsia="Times" w:hAnsi="Noto Sans" w:cs="Noto Sans"/>
          <w:color w:val="000000"/>
          <w:sz w:val="16"/>
          <w:szCs w:val="20"/>
        </w:rPr>
      </w:pPr>
      <w:r w:rsidRPr="007715DC">
        <w:rPr>
          <w:rFonts w:ascii="Noto Sans" w:eastAsia="Times" w:hAnsi="Noto Sans" w:cs="Noto Sans"/>
          <w:color w:val="000000"/>
          <w:sz w:val="16"/>
          <w:szCs w:val="20"/>
        </w:rPr>
        <w:t>Fuente: Elaboración propia con Bases de egresos hospitalarios</w:t>
      </w:r>
    </w:p>
    <w:p w:rsidR="00A2360D" w:rsidRPr="007715DC" w:rsidRDefault="00A2360D" w:rsidP="00A2360D">
      <w:pPr>
        <w:spacing w:before="120" w:after="120" w:line="276" w:lineRule="auto"/>
        <w:jc w:val="both"/>
        <w:rPr>
          <w:rFonts w:ascii="Noto Sans" w:hAnsi="Noto Sans" w:cs="Noto Sans"/>
          <w:sz w:val="16"/>
          <w:szCs w:val="20"/>
        </w:rPr>
      </w:pPr>
    </w:p>
    <w:p w:rsidR="00A2360D" w:rsidRPr="007715DC" w:rsidRDefault="00A2360D" w:rsidP="00A2360D">
      <w:pPr>
        <w:spacing w:line="276" w:lineRule="auto"/>
        <w:ind w:hanging="2"/>
        <w:jc w:val="both"/>
        <w:rPr>
          <w:rFonts w:ascii="Noto Sans" w:eastAsia="Times" w:hAnsi="Noto Sans" w:cs="Noto Sans"/>
          <w:color w:val="000000"/>
          <w:sz w:val="20"/>
          <w:szCs w:val="20"/>
        </w:rPr>
      </w:pPr>
      <w:r w:rsidRPr="007715DC">
        <w:rPr>
          <w:rFonts w:ascii="Noto Sans" w:eastAsia="Times" w:hAnsi="Noto Sans" w:cs="Noto Sans"/>
          <w:b/>
          <w:color w:val="000000"/>
          <w:sz w:val="20"/>
          <w:szCs w:val="20"/>
        </w:rPr>
        <w:t>Tabla 2</w:t>
      </w:r>
      <w:r w:rsidR="00BD56A3">
        <w:rPr>
          <w:rFonts w:ascii="Noto Sans" w:eastAsia="Times" w:hAnsi="Noto Sans" w:cs="Noto Sans"/>
          <w:color w:val="000000"/>
          <w:sz w:val="20"/>
          <w:szCs w:val="20"/>
        </w:rPr>
        <w:t>. Egresos hospitalarios – Pp E23</w:t>
      </w:r>
      <w:r w:rsidRPr="007715DC">
        <w:rPr>
          <w:rFonts w:ascii="Noto Sans" w:eastAsia="Times" w:hAnsi="Noto Sans" w:cs="Noto Sans"/>
          <w:color w:val="000000"/>
          <w:sz w:val="20"/>
          <w:szCs w:val="20"/>
        </w:rPr>
        <w:t>1 México, 2019-2023</w:t>
      </w:r>
    </w:p>
    <w:tbl>
      <w:tblPr>
        <w:tblW w:w="9703" w:type="dxa"/>
        <w:tblInd w:w="-436" w:type="dxa"/>
        <w:tblLayout w:type="fixed"/>
        <w:tblCellMar>
          <w:left w:w="70" w:type="dxa"/>
          <w:right w:w="70" w:type="dxa"/>
        </w:tblCellMar>
        <w:tblLook w:val="04A0" w:firstRow="1" w:lastRow="0" w:firstColumn="1" w:lastColumn="0" w:noHBand="0" w:noVBand="1"/>
      </w:tblPr>
      <w:tblGrid>
        <w:gridCol w:w="2411"/>
        <w:gridCol w:w="822"/>
        <w:gridCol w:w="567"/>
        <w:gridCol w:w="7"/>
        <w:gridCol w:w="815"/>
        <w:gridCol w:w="567"/>
        <w:gridCol w:w="9"/>
        <w:gridCol w:w="842"/>
        <w:gridCol w:w="567"/>
        <w:gridCol w:w="9"/>
        <w:gridCol w:w="813"/>
        <w:gridCol w:w="708"/>
        <w:gridCol w:w="22"/>
        <w:gridCol w:w="800"/>
        <w:gridCol w:w="709"/>
        <w:gridCol w:w="35"/>
      </w:tblGrid>
      <w:tr w:rsidR="00A2360D" w:rsidRPr="00AA6476" w:rsidTr="00A2360D">
        <w:trPr>
          <w:trHeight w:val="300"/>
          <w:tblHeader/>
        </w:trPr>
        <w:tc>
          <w:tcPr>
            <w:tcW w:w="2411" w:type="dxa"/>
            <w:vMerge w:val="restart"/>
            <w:tcBorders>
              <w:top w:val="single" w:sz="8" w:space="0" w:color="BFBFBF"/>
              <w:left w:val="single" w:sz="8" w:space="0" w:color="BFBFBF"/>
              <w:bottom w:val="single" w:sz="8" w:space="0" w:color="BFBFBF"/>
              <w:right w:val="single" w:sz="8" w:space="0" w:color="BFBFBF"/>
            </w:tcBorders>
            <w:shd w:val="clear" w:color="000000" w:fill="9A0003"/>
            <w:vAlign w:val="center"/>
            <w:hideMark/>
          </w:tcPr>
          <w:p w:rsidR="00A2360D" w:rsidRPr="00AA6476" w:rsidRDefault="00A2360D" w:rsidP="00A2360D">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Descripción</w:t>
            </w:r>
          </w:p>
        </w:tc>
        <w:tc>
          <w:tcPr>
            <w:tcW w:w="1396" w:type="dxa"/>
            <w:gridSpan w:val="3"/>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2019</w:t>
            </w:r>
          </w:p>
        </w:tc>
        <w:tc>
          <w:tcPr>
            <w:tcW w:w="1391" w:type="dxa"/>
            <w:gridSpan w:val="3"/>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2020</w:t>
            </w:r>
          </w:p>
        </w:tc>
        <w:tc>
          <w:tcPr>
            <w:tcW w:w="1418" w:type="dxa"/>
            <w:gridSpan w:val="3"/>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2021</w:t>
            </w:r>
          </w:p>
        </w:tc>
        <w:tc>
          <w:tcPr>
            <w:tcW w:w="1543" w:type="dxa"/>
            <w:gridSpan w:val="3"/>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2022</w:t>
            </w:r>
          </w:p>
        </w:tc>
        <w:tc>
          <w:tcPr>
            <w:tcW w:w="1544" w:type="dxa"/>
            <w:gridSpan w:val="3"/>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2023</w:t>
            </w:r>
          </w:p>
        </w:tc>
      </w:tr>
      <w:tr w:rsidR="00A2360D" w:rsidRPr="00AA6476" w:rsidTr="00A2360D">
        <w:trPr>
          <w:gridAfter w:val="1"/>
          <w:wAfter w:w="35" w:type="dxa"/>
          <w:trHeight w:val="300"/>
          <w:tblHeader/>
        </w:trPr>
        <w:tc>
          <w:tcPr>
            <w:tcW w:w="2411" w:type="dxa"/>
            <w:vMerge/>
            <w:tcBorders>
              <w:top w:val="single" w:sz="8" w:space="0" w:color="BFBFBF"/>
              <w:left w:val="single" w:sz="8" w:space="0" w:color="BFBFBF"/>
              <w:bottom w:val="single" w:sz="8" w:space="0" w:color="BFBFBF"/>
              <w:right w:val="single" w:sz="8" w:space="0" w:color="BFBFBF"/>
            </w:tcBorders>
            <w:vAlign w:val="center"/>
            <w:hideMark/>
          </w:tcPr>
          <w:p w:rsidR="00A2360D" w:rsidRPr="00AA6476" w:rsidRDefault="00A2360D" w:rsidP="00A2360D">
            <w:pPr>
              <w:ind w:hanging="2"/>
              <w:rPr>
                <w:rFonts w:ascii="Noto Sans" w:eastAsia="Times New Roman" w:hAnsi="Noto Sans" w:cs="Noto Sans"/>
                <w:b/>
                <w:bCs/>
                <w:color w:val="FFFFFF"/>
                <w:sz w:val="16"/>
                <w:szCs w:val="16"/>
              </w:rPr>
            </w:pPr>
          </w:p>
        </w:tc>
        <w:tc>
          <w:tcPr>
            <w:tcW w:w="822" w:type="dxa"/>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n</w:t>
            </w:r>
          </w:p>
        </w:tc>
        <w:tc>
          <w:tcPr>
            <w:tcW w:w="567" w:type="dxa"/>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w:t>
            </w:r>
          </w:p>
        </w:tc>
        <w:tc>
          <w:tcPr>
            <w:tcW w:w="822" w:type="dxa"/>
            <w:gridSpan w:val="2"/>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n</w:t>
            </w:r>
          </w:p>
        </w:tc>
        <w:tc>
          <w:tcPr>
            <w:tcW w:w="567" w:type="dxa"/>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w:t>
            </w:r>
          </w:p>
        </w:tc>
        <w:tc>
          <w:tcPr>
            <w:tcW w:w="851" w:type="dxa"/>
            <w:gridSpan w:val="2"/>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N</w:t>
            </w:r>
          </w:p>
        </w:tc>
        <w:tc>
          <w:tcPr>
            <w:tcW w:w="567" w:type="dxa"/>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w:t>
            </w:r>
          </w:p>
        </w:tc>
        <w:tc>
          <w:tcPr>
            <w:tcW w:w="822" w:type="dxa"/>
            <w:gridSpan w:val="2"/>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n</w:t>
            </w:r>
          </w:p>
        </w:tc>
        <w:tc>
          <w:tcPr>
            <w:tcW w:w="708" w:type="dxa"/>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w:t>
            </w:r>
          </w:p>
        </w:tc>
        <w:tc>
          <w:tcPr>
            <w:tcW w:w="822" w:type="dxa"/>
            <w:gridSpan w:val="2"/>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n</w:t>
            </w:r>
          </w:p>
        </w:tc>
        <w:tc>
          <w:tcPr>
            <w:tcW w:w="709" w:type="dxa"/>
            <w:tcBorders>
              <w:top w:val="nil"/>
              <w:left w:val="nil"/>
              <w:bottom w:val="single" w:sz="8" w:space="0" w:color="BFBFBF"/>
              <w:right w:val="single" w:sz="8" w:space="0" w:color="BFBFBF"/>
            </w:tcBorders>
            <w:shd w:val="clear" w:color="000000" w:fill="9A0003"/>
            <w:vAlign w:val="center"/>
            <w:hideMark/>
          </w:tcPr>
          <w:p w:rsidR="00A2360D" w:rsidRPr="00AA6476" w:rsidRDefault="00A2360D" w:rsidP="00A2360D">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w:t>
            </w:r>
          </w:p>
        </w:tc>
      </w:tr>
      <w:tr w:rsidR="00A2360D" w:rsidRPr="00AA6476" w:rsidTr="00A2360D">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Egresos en Pp E031</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202,905</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131,211</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145,867</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166,103</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189,922</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r>
      <w:tr w:rsidR="00A2360D" w:rsidRPr="00AA6476" w:rsidTr="00A2360D">
        <w:trPr>
          <w:trHeight w:val="300"/>
        </w:trPr>
        <w:tc>
          <w:tcPr>
            <w:tcW w:w="9703" w:type="dxa"/>
            <w:gridSpan w:val="16"/>
            <w:tcBorders>
              <w:top w:val="single" w:sz="8" w:space="0" w:color="BFBFBF"/>
              <w:left w:val="single" w:sz="8" w:space="0" w:color="BFBFBF"/>
              <w:bottom w:val="single" w:sz="8" w:space="0" w:color="BFBFBF"/>
              <w:right w:val="single" w:sz="8" w:space="0" w:color="BFBFBF"/>
            </w:tcBorders>
            <w:shd w:val="clear" w:color="000000" w:fill="E8E8E8"/>
            <w:vAlign w:val="center"/>
            <w:hideMark/>
          </w:tcPr>
          <w:p w:rsidR="00A2360D" w:rsidRPr="00AA6476" w:rsidRDefault="00A2360D" w:rsidP="00A2360D">
            <w:pPr>
              <w:ind w:hanging="2"/>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Por grupo de edad</w:t>
            </w:r>
          </w:p>
        </w:tc>
      </w:tr>
      <w:tr w:rsidR="00A2360D" w:rsidRPr="00AA6476" w:rsidTr="00A2360D">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0-5</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22,274</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10.98</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12,585</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9.59</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15,975</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10.95</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22,385</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13.48</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19,519</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10.28</w:t>
            </w:r>
          </w:p>
        </w:tc>
      </w:tr>
      <w:tr w:rsidR="00A2360D" w:rsidRPr="00AA6476" w:rsidTr="00A2360D">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6-12</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7,550</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3.72</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4,857</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3.70</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5,943</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4.07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7,800</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4.70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7,898</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4.16</w:t>
            </w:r>
          </w:p>
        </w:tc>
      </w:tr>
      <w:tr w:rsidR="00A2360D" w:rsidRPr="00AA6476" w:rsidTr="00A2360D">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13-17</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9,286</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4.58</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6,479</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4.94</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6,381</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4.37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7,517</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4.53</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7,943</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4.18</w:t>
            </w:r>
          </w:p>
        </w:tc>
      </w:tr>
      <w:tr w:rsidR="00A2360D" w:rsidRPr="00AA6476" w:rsidTr="00A2360D">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18-29</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45,812</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22.58</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26,868</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20.48</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27,403</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18.79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26,298</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15.83</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36,612</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19.28</w:t>
            </w:r>
          </w:p>
        </w:tc>
      </w:tr>
      <w:tr w:rsidR="00A2360D" w:rsidRPr="00AA6476" w:rsidTr="00A2360D">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30-64</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94,302</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46.48</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66,142</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50.41</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75,685</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51.89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83,382</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50.20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95,884</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50.49</w:t>
            </w:r>
          </w:p>
        </w:tc>
      </w:tr>
      <w:tr w:rsidR="00A2360D" w:rsidRPr="00AA6476" w:rsidTr="00A2360D">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&gt; 65</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23,681</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11.67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14,280</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10.88</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14,480</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9.93</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18,721</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11.27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22,066</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11.62</w:t>
            </w:r>
          </w:p>
        </w:tc>
      </w:tr>
      <w:tr w:rsidR="00A2360D" w:rsidRPr="00AA6476" w:rsidTr="00A2360D">
        <w:trPr>
          <w:trHeight w:val="300"/>
        </w:trPr>
        <w:tc>
          <w:tcPr>
            <w:tcW w:w="9703" w:type="dxa"/>
            <w:gridSpan w:val="16"/>
            <w:tcBorders>
              <w:top w:val="single" w:sz="8" w:space="0" w:color="BFBFBF"/>
              <w:left w:val="single" w:sz="8" w:space="0" w:color="BFBFBF"/>
              <w:bottom w:val="single" w:sz="8" w:space="0" w:color="BFBFBF"/>
              <w:right w:val="single" w:sz="8" w:space="0" w:color="BFBFBF"/>
            </w:tcBorders>
            <w:shd w:val="clear" w:color="000000" w:fill="E8E8E8"/>
            <w:vAlign w:val="center"/>
            <w:hideMark/>
          </w:tcPr>
          <w:p w:rsidR="00A2360D" w:rsidRPr="00AA6476" w:rsidRDefault="00A2360D" w:rsidP="00A2360D">
            <w:pPr>
              <w:ind w:hanging="2"/>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Por I.N.Salud</w:t>
            </w:r>
          </w:p>
        </w:tc>
      </w:tr>
      <w:tr w:rsidR="00A2360D" w:rsidRPr="00AA6476" w:rsidTr="00A2360D">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Cancerología (DFSSA004043)</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7,162</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3.53</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6,715</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5.12</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6,569</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7,545</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4.54</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7,395</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3.89</w:t>
            </w:r>
          </w:p>
        </w:tc>
      </w:tr>
      <w:tr w:rsidR="00A2360D" w:rsidRPr="00AA6476" w:rsidTr="00A2360D">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lastRenderedPageBreak/>
              <w:t>Instituto Nacional de Perinatología (DFSSA004096)</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8,235</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4.06</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6,110</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4.66</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5,009</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3.43</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5,852</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3.52</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6,376</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3.36</w:t>
            </w:r>
          </w:p>
        </w:tc>
      </w:tr>
      <w:tr w:rsidR="00A2360D" w:rsidRPr="00AA6476" w:rsidTr="00A2360D">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Hospital Infantil de México Federico Gómez (DFSSA004084)</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7,471</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3.68</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4,681</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3.57</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5,523</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3.79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6,051</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3.64</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6,627</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3.49</w:t>
            </w:r>
          </w:p>
        </w:tc>
      </w:tr>
      <w:tr w:rsidR="00A2360D" w:rsidRPr="00AA6476" w:rsidTr="00A2360D">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Pediatría (DFSSA004014)</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5,760</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2.84</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5,057</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3.85</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5,852</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4.01</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6,258</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3.77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6,616</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3.48</w:t>
            </w:r>
          </w:p>
        </w:tc>
      </w:tr>
      <w:tr w:rsidR="00A2360D" w:rsidRPr="00AA6476" w:rsidTr="00A2360D">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Ciencias Médicas y Nutrición (DFSSA004055)</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5,119</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2.52</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5,305</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4.04</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5,856</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4.01</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5,159</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3.11</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5,208</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2.74</w:t>
            </w:r>
          </w:p>
        </w:tc>
      </w:tr>
      <w:tr w:rsidR="00A2360D" w:rsidRPr="00AA6476" w:rsidTr="00A2360D">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Rehabilitación (DFSSA003956)</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5,620</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2.77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3,756</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2.86</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4,357</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2.99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6,036</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3.63</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6,671</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3.51</w:t>
            </w:r>
          </w:p>
        </w:tc>
      </w:tr>
      <w:tr w:rsidR="00A2360D" w:rsidRPr="00AA6476" w:rsidTr="00A2360D">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Cardiología (DFSSA004031)</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5,819</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2.87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3,671</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2.80</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4,358</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2.99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5,287</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3.18</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5,870</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3.09</w:t>
            </w:r>
          </w:p>
        </w:tc>
      </w:tr>
      <w:tr w:rsidR="00A2360D" w:rsidRPr="00AA6476" w:rsidTr="00A2360D">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Enfermedades Respiratorias (DFSSA004026)</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4,338</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2.14</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2,618</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2.00</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2,699</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1.85</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3,938</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2.37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4,335</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2.28</w:t>
            </w:r>
          </w:p>
        </w:tc>
      </w:tr>
      <w:tr w:rsidR="00A2360D" w:rsidRPr="00AA6476" w:rsidTr="00A2360D">
        <w:trPr>
          <w:gridAfter w:val="1"/>
          <w:wAfter w:w="35" w:type="dxa"/>
          <w:trHeight w:val="804"/>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Neurología y Neurocirugía Manuel Velasco Suárez(DFSSA004060)</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2,759</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1.36</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1,584</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1.21</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2,199</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1.51</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2,506</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1.51</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2,467</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1.30</w:t>
            </w:r>
          </w:p>
        </w:tc>
      </w:tr>
      <w:tr w:rsidR="00A2360D" w:rsidRPr="00AA6476" w:rsidTr="00A2360D">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Psiquiatría Ramón de la Fuente Muñiz (DFSSA004072)</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638</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0.31</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529</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0.40</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541</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0.37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481</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0.29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515</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0.27</w:t>
            </w:r>
          </w:p>
        </w:tc>
      </w:tr>
      <w:tr w:rsidR="00A2360D" w:rsidRPr="00AA6476" w:rsidTr="00A2360D">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Geriatría (DFSSA004644)</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r>
      <w:tr w:rsidR="00A2360D" w:rsidRPr="00AA6476" w:rsidTr="00A2360D">
        <w:trPr>
          <w:trHeight w:val="311"/>
        </w:trPr>
        <w:tc>
          <w:tcPr>
            <w:tcW w:w="9703" w:type="dxa"/>
            <w:gridSpan w:val="16"/>
            <w:tcBorders>
              <w:top w:val="single" w:sz="8" w:space="0" w:color="BFBFBF"/>
              <w:left w:val="single" w:sz="8" w:space="0" w:color="BFBFBF"/>
              <w:bottom w:val="single" w:sz="8" w:space="0" w:color="BFBFBF"/>
              <w:right w:val="single" w:sz="8" w:space="0" w:color="BFBFBF"/>
            </w:tcBorders>
            <w:shd w:val="clear" w:color="000000" w:fill="E8E8E8"/>
            <w:vAlign w:val="center"/>
            <w:hideMark/>
          </w:tcPr>
          <w:p w:rsidR="00A2360D" w:rsidRPr="00AA6476" w:rsidRDefault="00A2360D" w:rsidP="00A2360D">
            <w:pPr>
              <w:ind w:hanging="2"/>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Por HFR</w:t>
            </w:r>
          </w:p>
        </w:tc>
      </w:tr>
      <w:tr w:rsidR="00A2360D" w:rsidRPr="00AA6476" w:rsidTr="00A2360D">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Hospital General de México “Dr. Eduardo Liceaga” (DFSSA003973)</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42,404</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20.90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22,080</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16.83</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24,054</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16.49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33,848</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20.38</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37,503</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19.75</w:t>
            </w:r>
          </w:p>
        </w:tc>
      </w:tr>
      <w:tr w:rsidR="00A2360D" w:rsidRPr="00AA6476" w:rsidTr="00A2360D">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Hospital Juárez de México (DFSSA003944)</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18,879</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9.30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8,735</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6.66</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9,315</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6.39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13,875</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8.35</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16,051</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8.45</w:t>
            </w:r>
          </w:p>
        </w:tc>
      </w:tr>
      <w:tr w:rsidR="00A2360D" w:rsidRPr="00AA6476" w:rsidTr="00A2360D">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Hospital General “Dr. Manuel Gea González (DFSSA003961)</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10,738</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5.29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6,407</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4.88</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7,293</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5.00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9,632</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5.80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12,285</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6.47</w:t>
            </w:r>
          </w:p>
        </w:tc>
      </w:tr>
      <w:tr w:rsidR="00A2360D" w:rsidRPr="00AA6476" w:rsidTr="00A2360D">
        <w:trPr>
          <w:trHeight w:val="251"/>
        </w:trPr>
        <w:tc>
          <w:tcPr>
            <w:tcW w:w="9703" w:type="dxa"/>
            <w:gridSpan w:val="16"/>
            <w:tcBorders>
              <w:top w:val="single" w:sz="8" w:space="0" w:color="BFBFBF"/>
              <w:left w:val="single" w:sz="8" w:space="0" w:color="BFBFBF"/>
              <w:bottom w:val="single" w:sz="8" w:space="0" w:color="BFBFBF"/>
              <w:right w:val="single" w:sz="8" w:space="0" w:color="BFBFBF"/>
            </w:tcBorders>
            <w:shd w:val="clear" w:color="000000" w:fill="E8E8E8"/>
            <w:vAlign w:val="center"/>
            <w:hideMark/>
          </w:tcPr>
          <w:p w:rsidR="00A2360D" w:rsidRPr="00AA6476" w:rsidRDefault="00A2360D" w:rsidP="00A2360D">
            <w:pPr>
              <w:ind w:hanging="2"/>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Por la SS</w:t>
            </w:r>
          </w:p>
        </w:tc>
      </w:tr>
      <w:tr w:rsidR="00A2360D" w:rsidRPr="00AA6476" w:rsidTr="00A2360D">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Hospital de la Mujer (DFSSA004002)</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70,253</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34.62</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49,614</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37.81</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58,202</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39.90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54,716</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32.94</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65,655</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34.57</w:t>
            </w:r>
          </w:p>
        </w:tc>
      </w:tr>
      <w:tr w:rsidR="00A2360D" w:rsidRPr="00AA6476" w:rsidTr="00A2360D">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CONASAMA (DFSSA004492)</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4,524</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2.23</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2,520</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1.92</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1,985</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1.36</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3,251</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1.96</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4,046</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2.13</w:t>
            </w:r>
          </w:p>
        </w:tc>
      </w:tr>
      <w:tr w:rsidR="00A2360D" w:rsidRPr="00AA6476" w:rsidTr="00A2360D">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Hospital Nacional Homeopático (DFSSA003990)</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3,186</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1,829</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1.39</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2,055</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1.41</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1,668</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2,302</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1.21</w:t>
            </w:r>
          </w:p>
        </w:tc>
      </w:tr>
      <w:tr w:rsidR="00A2360D" w:rsidRPr="00AA6476" w:rsidTr="00A2360D">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Unidad Médico Quirúrgica Juárez centro (DFSSA003985)</w:t>
            </w:r>
          </w:p>
        </w:tc>
        <w:tc>
          <w:tcPr>
            <w:tcW w:w="822"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c>
          <w:tcPr>
            <w:tcW w:w="851"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567"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708"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709" w:type="dxa"/>
            <w:tcBorders>
              <w:top w:val="nil"/>
              <w:left w:val="nil"/>
              <w:bottom w:val="single" w:sz="8" w:space="0" w:color="BFBFBF"/>
              <w:right w:val="single" w:sz="8" w:space="0" w:color="BFBFBF"/>
            </w:tcBorders>
            <w:shd w:val="clear" w:color="auto" w:fill="auto"/>
            <w:vAlign w:val="center"/>
            <w:hideMark/>
          </w:tcPr>
          <w:p w:rsidR="00A2360D" w:rsidRPr="00AA6476" w:rsidRDefault="00A2360D" w:rsidP="00A2360D">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r>
    </w:tbl>
    <w:p w:rsidR="00A2360D" w:rsidRPr="007715DC" w:rsidRDefault="00A2360D" w:rsidP="00A2360D">
      <w:pPr>
        <w:spacing w:line="276" w:lineRule="auto"/>
        <w:ind w:hanging="2"/>
        <w:rPr>
          <w:rFonts w:ascii="Noto Sans" w:eastAsia="Times" w:hAnsi="Noto Sans" w:cs="Noto Sans"/>
          <w:i/>
          <w:color w:val="000000"/>
          <w:sz w:val="16"/>
          <w:szCs w:val="20"/>
        </w:rPr>
      </w:pPr>
      <w:r w:rsidRPr="007715DC">
        <w:rPr>
          <w:rFonts w:ascii="Noto Sans" w:eastAsia="Times" w:hAnsi="Noto Sans" w:cs="Noto Sans"/>
          <w:i/>
          <w:color w:val="000000"/>
          <w:sz w:val="16"/>
          <w:szCs w:val="20"/>
        </w:rPr>
        <w:t>Las unidades consideran los egresos hospitalarios y de urgencias correspondiente al año en que se dan de alta y no al ingreso.</w:t>
      </w:r>
    </w:p>
    <w:p w:rsidR="00A2360D" w:rsidRPr="007715DC" w:rsidRDefault="00A2360D" w:rsidP="00A2360D">
      <w:pPr>
        <w:spacing w:line="276" w:lineRule="auto"/>
        <w:ind w:hanging="2"/>
        <w:rPr>
          <w:rFonts w:ascii="Noto Sans" w:eastAsia="Times" w:hAnsi="Noto Sans" w:cs="Noto Sans"/>
          <w:i/>
          <w:color w:val="000000"/>
          <w:sz w:val="16"/>
          <w:szCs w:val="20"/>
        </w:rPr>
      </w:pPr>
      <w:r w:rsidRPr="007715DC">
        <w:rPr>
          <w:rFonts w:ascii="Noto Sans" w:eastAsia="Times" w:hAnsi="Noto Sans" w:cs="Noto Sans"/>
          <w:i/>
          <w:color w:val="000000"/>
          <w:sz w:val="16"/>
          <w:szCs w:val="20"/>
        </w:rPr>
        <w:t>El Hospital Juárez del Centro no cuenta con camas censables ni áreas de hospitalización, por lo que no cuenta con egresos hospitalarios.</w:t>
      </w:r>
    </w:p>
    <w:p w:rsidR="00A2360D" w:rsidRPr="007715DC" w:rsidRDefault="00A2360D" w:rsidP="00A2360D">
      <w:pPr>
        <w:spacing w:line="276" w:lineRule="auto"/>
        <w:ind w:hanging="2"/>
        <w:rPr>
          <w:rFonts w:ascii="Noto Sans" w:eastAsia="Times" w:hAnsi="Noto Sans" w:cs="Noto Sans"/>
          <w:i/>
          <w:color w:val="000000"/>
          <w:sz w:val="16"/>
          <w:szCs w:val="20"/>
        </w:rPr>
      </w:pPr>
      <w:r w:rsidRPr="007715DC">
        <w:rPr>
          <w:rFonts w:ascii="Noto Sans" w:eastAsia="Times" w:hAnsi="Noto Sans" w:cs="Noto Sans"/>
          <w:i/>
          <w:color w:val="000000"/>
          <w:sz w:val="16"/>
          <w:szCs w:val="20"/>
        </w:rPr>
        <w:t>El Instituto Nacional de Geriatría, no otorgó atención hospitalaria durante el periodo señalado.</w:t>
      </w:r>
    </w:p>
    <w:p w:rsidR="00A2360D" w:rsidRPr="007715DC" w:rsidRDefault="00A2360D" w:rsidP="00A2360D">
      <w:pPr>
        <w:spacing w:line="276" w:lineRule="auto"/>
        <w:ind w:hanging="2"/>
        <w:rPr>
          <w:rFonts w:ascii="Noto Sans" w:eastAsia="Times" w:hAnsi="Noto Sans" w:cs="Noto Sans"/>
          <w:i/>
          <w:color w:val="000000"/>
          <w:sz w:val="16"/>
          <w:szCs w:val="20"/>
        </w:rPr>
      </w:pPr>
      <w:r w:rsidRPr="007715DC">
        <w:rPr>
          <w:rFonts w:ascii="Noto Sans" w:eastAsia="Times" w:hAnsi="Noto Sans" w:cs="Noto Sans"/>
          <w:i/>
          <w:color w:val="000000"/>
          <w:sz w:val="16"/>
          <w:szCs w:val="20"/>
        </w:rPr>
        <w:t>Fuente: Elaboración propia con Bases de egresos hospitalarios</w:t>
      </w:r>
    </w:p>
    <w:p w:rsidR="00A2360D" w:rsidRPr="007715DC" w:rsidRDefault="00A2360D" w:rsidP="00A2360D">
      <w:pPr>
        <w:spacing w:line="276" w:lineRule="auto"/>
        <w:ind w:hanging="2"/>
        <w:rPr>
          <w:rFonts w:ascii="Noto Sans" w:eastAsia="Times" w:hAnsi="Noto Sans" w:cs="Noto Sans"/>
          <w:i/>
          <w:color w:val="000000"/>
          <w:sz w:val="16"/>
          <w:szCs w:val="20"/>
        </w:rPr>
      </w:pPr>
    </w:p>
    <w:p w:rsidR="00A2360D" w:rsidRPr="007715DC" w:rsidRDefault="00A2360D" w:rsidP="00A2360D">
      <w:pPr>
        <w:spacing w:before="120" w:after="120" w:line="276" w:lineRule="auto"/>
        <w:jc w:val="both"/>
        <w:rPr>
          <w:rFonts w:ascii="Noto Sans" w:hAnsi="Noto Sans" w:cs="Noto Sans"/>
          <w:sz w:val="20"/>
          <w:szCs w:val="20"/>
        </w:rPr>
      </w:pPr>
      <w:r w:rsidRPr="007715DC">
        <w:rPr>
          <w:rFonts w:ascii="Noto Sans" w:hAnsi="Noto Sans" w:cs="Noto Sans"/>
          <w:sz w:val="20"/>
          <w:szCs w:val="20"/>
        </w:rPr>
        <w:t>Al analizar las tasas de defunciones durante los últimos seis años a nivel nacional se observa que existe una variación porcentual anual donde no existe una tendencia clara respecto al indicador. Los cambios más drásticos se presentan entre 2019 y 2020, así como entre 2020 y 2021, observando incrementos del 39.6% y 14.0%, respectivamente, en el número de defunciones registradas. Entre 2021 y 2022, se evidenció una disminución del 28.2% y entre 2022 y 2023, la reducción fue de 8.4% (Figura 1).</w:t>
      </w:r>
    </w:p>
    <w:p w:rsidR="00A2360D" w:rsidRPr="007715DC" w:rsidRDefault="00A2360D" w:rsidP="00A2360D">
      <w:pPr>
        <w:spacing w:line="360" w:lineRule="auto"/>
        <w:ind w:hanging="2"/>
        <w:jc w:val="both"/>
        <w:rPr>
          <w:rFonts w:ascii="Noto Sans" w:eastAsia="Times New Roman" w:hAnsi="Noto Sans" w:cs="Noto Sans"/>
          <w:color w:val="000000"/>
          <w:sz w:val="20"/>
          <w:szCs w:val="20"/>
        </w:rPr>
      </w:pPr>
      <w:r w:rsidRPr="007715DC">
        <w:rPr>
          <w:rFonts w:ascii="Noto Sans" w:eastAsia="Times New Roman" w:hAnsi="Noto Sans" w:cs="Noto Sans"/>
          <w:b/>
          <w:color w:val="0D0D0D"/>
          <w:sz w:val="20"/>
          <w:szCs w:val="20"/>
          <w:highlight w:val="white"/>
        </w:rPr>
        <w:t>Figura 1</w:t>
      </w:r>
      <w:r w:rsidRPr="007715DC">
        <w:rPr>
          <w:rFonts w:ascii="Noto Sans" w:eastAsia="Times New Roman" w:hAnsi="Noto Sans" w:cs="Noto Sans"/>
          <w:bCs/>
          <w:color w:val="0D0D0D"/>
          <w:sz w:val="20"/>
          <w:szCs w:val="20"/>
          <w:highlight w:val="white"/>
        </w:rPr>
        <w:t>. Tasas de defunciones registradas por cada 100 mil habitantes</w:t>
      </w:r>
      <w:r w:rsidRPr="007715DC">
        <w:rPr>
          <w:rFonts w:ascii="Noto Sans" w:eastAsia="Times New Roman" w:hAnsi="Noto Sans" w:cs="Noto Sans"/>
          <w:bCs/>
          <w:color w:val="0D0D0D"/>
          <w:sz w:val="20"/>
          <w:szCs w:val="20"/>
          <w:highlight w:val="white"/>
          <w:vertAlign w:val="superscript"/>
        </w:rPr>
        <w:t>1</w:t>
      </w:r>
      <w:r w:rsidRPr="007715DC">
        <w:rPr>
          <w:rFonts w:ascii="Noto Sans" w:eastAsia="Times New Roman" w:hAnsi="Noto Sans" w:cs="Noto Sans"/>
          <w:bCs/>
          <w:color w:val="0D0D0D"/>
          <w:sz w:val="20"/>
          <w:szCs w:val="20"/>
          <w:highlight w:val="white"/>
        </w:rPr>
        <w:t>.</w:t>
      </w:r>
      <w:r w:rsidRPr="007715DC">
        <w:rPr>
          <w:rFonts w:ascii="Noto Sans" w:eastAsia="Times New Roman" w:hAnsi="Noto Sans" w:cs="Noto Sans"/>
          <w:bCs/>
          <w:color w:val="000000"/>
          <w:sz w:val="20"/>
          <w:szCs w:val="20"/>
        </w:rPr>
        <w:t xml:space="preserve"> </w:t>
      </w:r>
      <w:r w:rsidRPr="007715DC">
        <w:rPr>
          <w:rFonts w:ascii="Noto Sans" w:eastAsia="Times New Roman" w:hAnsi="Noto Sans" w:cs="Noto Sans"/>
          <w:bCs/>
          <w:sz w:val="20"/>
          <w:szCs w:val="20"/>
        </w:rPr>
        <w:t>(Enero–septiembre de 2018 a 2023</w:t>
      </w:r>
      <w:r w:rsidRPr="007715DC">
        <w:rPr>
          <w:rFonts w:ascii="Noto Sans" w:eastAsia="Times New Roman" w:hAnsi="Noto Sans" w:cs="Noto Sans"/>
          <w:bCs/>
          <w:sz w:val="20"/>
          <w:szCs w:val="20"/>
          <w:vertAlign w:val="superscript"/>
        </w:rPr>
        <w:t>P</w:t>
      </w:r>
      <w:r w:rsidRPr="007715DC">
        <w:rPr>
          <w:rFonts w:ascii="Noto Sans" w:eastAsia="Times New Roman" w:hAnsi="Noto Sans" w:cs="Noto Sans"/>
          <w:bCs/>
          <w:sz w:val="20"/>
          <w:szCs w:val="20"/>
        </w:rPr>
        <w:t xml:space="preserve"> y cierre de año de 2018 a 2022)</w:t>
      </w:r>
    </w:p>
    <w:p w:rsidR="00A2360D" w:rsidRPr="0047528A" w:rsidRDefault="00A2360D" w:rsidP="00A2360D">
      <w:pPr>
        <w:keepNext/>
        <w:spacing w:after="120" w:line="360" w:lineRule="auto"/>
        <w:ind w:hanging="2"/>
        <w:jc w:val="both"/>
        <w:rPr>
          <w:rFonts w:ascii="Noto Sans" w:hAnsi="Noto Sans" w:cs="Noto Sans"/>
          <w:i/>
          <w:sz w:val="16"/>
          <w:szCs w:val="20"/>
        </w:rPr>
      </w:pPr>
      <w:r w:rsidRPr="007715DC">
        <w:rPr>
          <w:rFonts w:ascii="Noto Sans" w:eastAsia="Times New Roman" w:hAnsi="Noto Sans" w:cs="Noto Sans"/>
          <w:noProof/>
          <w:sz w:val="20"/>
          <w:szCs w:val="20"/>
          <w:lang w:val="en-US" w:eastAsia="en-US"/>
        </w:rPr>
        <w:drawing>
          <wp:inline distT="0" distB="0" distL="114300" distR="114300" wp14:anchorId="152B691B" wp14:editId="3D6BEA81">
            <wp:extent cx="5602605" cy="2091055"/>
            <wp:effectExtent l="0" t="0" r="10795" b="17145"/>
            <wp:docPr id="1033" name="Gráfico 103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sidRPr="0047528A">
        <w:rPr>
          <w:rFonts w:ascii="Noto Sans" w:eastAsia="Times New Roman" w:hAnsi="Noto Sans" w:cs="Noto Sans"/>
          <w:i/>
          <w:color w:val="000000"/>
          <w:sz w:val="16"/>
          <w:szCs w:val="20"/>
          <w:vertAlign w:val="superscript"/>
        </w:rPr>
        <w:t>1</w:t>
      </w:r>
      <w:r w:rsidRPr="0047528A">
        <w:rPr>
          <w:rFonts w:ascii="Noto Sans" w:eastAsia="Times New Roman" w:hAnsi="Noto Sans" w:cs="Noto Sans"/>
          <w:i/>
          <w:color w:val="000000"/>
          <w:sz w:val="16"/>
          <w:szCs w:val="20"/>
        </w:rPr>
        <w:t xml:space="preserve"> </w:t>
      </w:r>
      <w:r w:rsidRPr="0047528A">
        <w:rPr>
          <w:rFonts w:ascii="Noto Sans" w:hAnsi="Noto Sans" w:cs="Noto Sans"/>
          <w:i/>
          <w:sz w:val="16"/>
          <w:szCs w:val="20"/>
        </w:rPr>
        <w:t>La tasa de defunciones registradas por cada 100 mil habitantes se presenta como referencia para facilitar la comparación entre años. El estudio de la mortalidad requiere la consideración de las defunciones durante un año determinado. El denominador para el cálculo de la tasa para el periodo 2013-2019 se generó a partir de la Conciliación Demográfica 1950 a 2019 del Consejo Nacional de Población. El denominador de los años 2020-2023 corresponde a la estimación de población que elabora el inegi con base en el Marco de Muestreo de Viviendas.</w:t>
      </w:r>
    </w:p>
    <w:p w:rsidR="00A2360D" w:rsidRPr="0047528A" w:rsidRDefault="00A2360D" w:rsidP="00A2360D">
      <w:pPr>
        <w:spacing w:before="120" w:after="120" w:line="276" w:lineRule="auto"/>
        <w:jc w:val="both"/>
        <w:rPr>
          <w:rFonts w:ascii="Noto Sans" w:hAnsi="Noto Sans" w:cs="Noto Sans"/>
          <w:i/>
          <w:sz w:val="16"/>
          <w:szCs w:val="20"/>
        </w:rPr>
      </w:pPr>
      <w:r w:rsidRPr="0047528A">
        <w:rPr>
          <w:rFonts w:ascii="Noto Sans" w:hAnsi="Noto Sans" w:cs="Noto Sans"/>
          <w:i/>
          <w:sz w:val="16"/>
          <w:szCs w:val="20"/>
        </w:rPr>
        <w:t>P Información preliminar.</w:t>
      </w:r>
    </w:p>
    <w:p w:rsidR="00A2360D" w:rsidRPr="0047528A" w:rsidRDefault="00A2360D" w:rsidP="00A2360D">
      <w:pPr>
        <w:spacing w:before="120" w:after="120" w:line="276" w:lineRule="auto"/>
        <w:jc w:val="both"/>
        <w:rPr>
          <w:rFonts w:ascii="Noto Sans" w:hAnsi="Noto Sans" w:cs="Noto Sans"/>
          <w:i/>
          <w:sz w:val="16"/>
          <w:szCs w:val="20"/>
        </w:rPr>
      </w:pPr>
      <w:r w:rsidRPr="0047528A">
        <w:rPr>
          <w:rFonts w:ascii="Noto Sans" w:hAnsi="Noto Sans" w:cs="Noto Sans"/>
          <w:i/>
          <w:sz w:val="16"/>
          <w:szCs w:val="20"/>
        </w:rPr>
        <w:t>Fuente: Adaptado de INEGI, EDR, enero-septiembre de 2014 a 2023P</w:t>
      </w:r>
    </w:p>
    <w:p w:rsidR="00A2360D" w:rsidRPr="007715DC" w:rsidRDefault="00A2360D" w:rsidP="00A2360D">
      <w:pPr>
        <w:spacing w:before="120" w:after="120" w:line="276" w:lineRule="auto"/>
        <w:jc w:val="both"/>
        <w:rPr>
          <w:rFonts w:ascii="Noto Sans" w:hAnsi="Noto Sans" w:cs="Noto Sans"/>
          <w:sz w:val="20"/>
          <w:szCs w:val="20"/>
        </w:rPr>
      </w:pPr>
      <w:r w:rsidRPr="007715DC">
        <w:rPr>
          <w:rFonts w:ascii="Noto Sans" w:hAnsi="Noto Sans" w:cs="Noto Sans"/>
          <w:sz w:val="20"/>
          <w:szCs w:val="20"/>
        </w:rPr>
        <w:t>Al analizar la tasa de defunciones por grupo de edad, se observa que el grupo de 65 años y más, representó el mayor porcentaje de defunciones, con un 58.26% del total lo cual representa 343,657 casos. En la mayoría de los grupos de edad, la mortalidad fue más alta entre el grupo de hombres que entre las mujeres (Figura 2).</w:t>
      </w:r>
    </w:p>
    <w:p w:rsidR="00A2360D" w:rsidRPr="007715DC" w:rsidRDefault="00A2360D" w:rsidP="00A2360D">
      <w:pPr>
        <w:spacing w:line="360" w:lineRule="auto"/>
        <w:ind w:hanging="2"/>
        <w:rPr>
          <w:rFonts w:ascii="Noto Sans" w:eastAsia="Times New Roman" w:hAnsi="Noto Sans" w:cs="Noto Sans"/>
          <w:noProof/>
          <w:sz w:val="20"/>
          <w:szCs w:val="20"/>
        </w:rPr>
      </w:pPr>
      <w:r w:rsidRPr="007715DC">
        <w:rPr>
          <w:rFonts w:ascii="Noto Sans" w:eastAsia="Times New Roman" w:hAnsi="Noto Sans" w:cs="Noto Sans"/>
          <w:b/>
          <w:color w:val="0D0D0D"/>
          <w:sz w:val="20"/>
          <w:szCs w:val="20"/>
          <w:highlight w:val="white"/>
        </w:rPr>
        <w:t>Figura 2.</w:t>
      </w:r>
      <w:r w:rsidRPr="007715DC">
        <w:rPr>
          <w:rFonts w:ascii="Noto Sans" w:eastAsia="Times New Roman" w:hAnsi="Noto Sans" w:cs="Noto Sans"/>
          <w:color w:val="0D0D0D"/>
          <w:sz w:val="20"/>
          <w:szCs w:val="20"/>
          <w:highlight w:val="white"/>
        </w:rPr>
        <w:t xml:space="preserve"> Tasas de defunciones registradas por cada 100 mil habitantes</w:t>
      </w:r>
      <w:r w:rsidRPr="007715DC">
        <w:rPr>
          <w:rFonts w:ascii="Noto Sans" w:eastAsia="Times New Roman" w:hAnsi="Noto Sans" w:cs="Noto Sans"/>
          <w:color w:val="0D0D0D"/>
          <w:sz w:val="20"/>
          <w:szCs w:val="20"/>
          <w:highlight w:val="white"/>
          <w:vertAlign w:val="superscript"/>
        </w:rPr>
        <w:t>1</w:t>
      </w:r>
      <w:r w:rsidRPr="007715DC">
        <w:rPr>
          <w:rFonts w:ascii="Noto Sans" w:eastAsia="Times New Roman" w:hAnsi="Noto Sans" w:cs="Noto Sans"/>
          <w:color w:val="0D0D0D"/>
          <w:sz w:val="20"/>
          <w:szCs w:val="20"/>
          <w:highlight w:val="white"/>
        </w:rPr>
        <w:t>, según grupos de edad y sexo. (Enero-Septiembre de 2023</w:t>
      </w:r>
      <w:r w:rsidRPr="007715DC">
        <w:rPr>
          <w:rFonts w:ascii="Noto Sans" w:eastAsia="Times New Roman" w:hAnsi="Noto Sans" w:cs="Noto Sans"/>
          <w:color w:val="0D0D0D"/>
          <w:sz w:val="20"/>
          <w:szCs w:val="20"/>
          <w:highlight w:val="white"/>
          <w:vertAlign w:val="superscript"/>
        </w:rPr>
        <w:t>p</w:t>
      </w:r>
      <w:r w:rsidRPr="007715DC">
        <w:rPr>
          <w:rFonts w:ascii="Noto Sans" w:eastAsia="Times New Roman" w:hAnsi="Noto Sans" w:cs="Noto Sans"/>
          <w:color w:val="0D0D0D"/>
          <w:sz w:val="20"/>
          <w:szCs w:val="20"/>
          <w:highlight w:val="white"/>
        </w:rPr>
        <w:t>)</w:t>
      </w:r>
      <w:r w:rsidRPr="007715DC">
        <w:rPr>
          <w:rFonts w:ascii="Noto Sans" w:eastAsia="Times New Roman" w:hAnsi="Noto Sans" w:cs="Noto Sans"/>
          <w:noProof/>
          <w:sz w:val="20"/>
          <w:szCs w:val="20"/>
        </w:rPr>
        <w:t xml:space="preserve"> </w:t>
      </w:r>
    </w:p>
    <w:p w:rsidR="00A2360D" w:rsidRPr="007715DC" w:rsidRDefault="00A2360D" w:rsidP="00A2360D">
      <w:pPr>
        <w:spacing w:line="360" w:lineRule="auto"/>
        <w:ind w:hanging="2"/>
        <w:rPr>
          <w:rFonts w:ascii="Noto Sans" w:eastAsia="Times New Roman" w:hAnsi="Noto Sans" w:cs="Noto Sans"/>
          <w:color w:val="0D0D0D"/>
          <w:sz w:val="20"/>
          <w:szCs w:val="20"/>
          <w:highlight w:val="white"/>
        </w:rPr>
      </w:pPr>
      <w:r w:rsidRPr="007715DC">
        <w:rPr>
          <w:rFonts w:ascii="Noto Sans" w:eastAsia="Times New Roman" w:hAnsi="Noto Sans" w:cs="Noto Sans"/>
          <w:noProof/>
          <w:sz w:val="20"/>
          <w:szCs w:val="20"/>
          <w:lang w:val="en-US" w:eastAsia="en-US"/>
        </w:rPr>
        <w:lastRenderedPageBreak/>
        <w:drawing>
          <wp:inline distT="0" distB="0" distL="114300" distR="114300" wp14:anchorId="70102B74" wp14:editId="3760041E">
            <wp:extent cx="5586730" cy="2402958"/>
            <wp:effectExtent l="0" t="0" r="13970" b="16510"/>
            <wp:docPr id="1032" name="Gráfico 103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2360D" w:rsidRPr="0047528A" w:rsidRDefault="00A2360D" w:rsidP="00A2360D">
      <w:pPr>
        <w:keepNext/>
        <w:keepLines/>
        <w:ind w:hanging="2"/>
        <w:jc w:val="both"/>
        <w:rPr>
          <w:rFonts w:ascii="Noto Sans" w:eastAsia="Times New Roman" w:hAnsi="Noto Sans" w:cs="Noto Sans"/>
          <w:i/>
          <w:sz w:val="16"/>
          <w:szCs w:val="20"/>
        </w:rPr>
      </w:pPr>
      <w:r w:rsidRPr="0047528A">
        <w:rPr>
          <w:rFonts w:ascii="Noto Sans" w:eastAsia="Times New Roman" w:hAnsi="Noto Sans" w:cs="Noto Sans"/>
          <w:i/>
          <w:sz w:val="16"/>
          <w:szCs w:val="20"/>
          <w:vertAlign w:val="superscript"/>
        </w:rPr>
        <w:t>1</w:t>
      </w:r>
      <w:r w:rsidRPr="0047528A">
        <w:rPr>
          <w:rFonts w:ascii="Noto Sans" w:eastAsia="Times New Roman" w:hAnsi="Noto Sans" w:cs="Noto Sans"/>
          <w:i/>
          <w:sz w:val="16"/>
          <w:szCs w:val="20"/>
        </w:rPr>
        <w:t xml:space="preserve">El denominador para el cálculo de la tasa corresponde a la estimación de población que elabora el </w:t>
      </w:r>
      <w:r w:rsidRPr="0047528A">
        <w:rPr>
          <w:rFonts w:ascii="Noto Sans" w:eastAsia="Times New Roman" w:hAnsi="Noto Sans" w:cs="Noto Sans"/>
          <w:i/>
          <w:smallCaps/>
          <w:sz w:val="16"/>
          <w:szCs w:val="20"/>
        </w:rPr>
        <w:t>inegi</w:t>
      </w:r>
      <w:r w:rsidRPr="0047528A">
        <w:rPr>
          <w:rFonts w:ascii="Noto Sans" w:eastAsia="Times New Roman" w:hAnsi="Noto Sans" w:cs="Noto Sans"/>
          <w:i/>
          <w:sz w:val="16"/>
          <w:szCs w:val="20"/>
        </w:rPr>
        <w:t xml:space="preserve"> con base en el Marco de Muestreo de Viviendas.</w:t>
      </w:r>
    </w:p>
    <w:p w:rsidR="00A2360D" w:rsidRPr="0047528A" w:rsidRDefault="00A2360D" w:rsidP="00A2360D">
      <w:pPr>
        <w:keepNext/>
        <w:keepLines/>
        <w:pBdr>
          <w:top w:val="nil"/>
          <w:left w:val="nil"/>
          <w:bottom w:val="nil"/>
          <w:right w:val="nil"/>
          <w:between w:val="nil"/>
        </w:pBdr>
        <w:ind w:hanging="2"/>
        <w:jc w:val="both"/>
        <w:rPr>
          <w:rFonts w:ascii="Noto Sans" w:eastAsia="Times New Roman" w:hAnsi="Noto Sans" w:cs="Noto Sans"/>
          <w:i/>
          <w:color w:val="000000"/>
          <w:sz w:val="16"/>
          <w:szCs w:val="20"/>
        </w:rPr>
      </w:pPr>
      <w:r w:rsidRPr="0047528A">
        <w:rPr>
          <w:rFonts w:ascii="Noto Sans" w:eastAsia="Times New Roman" w:hAnsi="Noto Sans" w:cs="Noto Sans"/>
          <w:i/>
          <w:color w:val="000000"/>
          <w:sz w:val="16"/>
          <w:szCs w:val="20"/>
          <w:vertAlign w:val="superscript"/>
        </w:rPr>
        <w:t xml:space="preserve">P </w:t>
      </w:r>
      <w:r w:rsidRPr="0047528A">
        <w:rPr>
          <w:rFonts w:ascii="Noto Sans" w:eastAsia="Times New Roman" w:hAnsi="Noto Sans" w:cs="Noto Sans"/>
          <w:i/>
          <w:color w:val="000000"/>
          <w:sz w:val="16"/>
          <w:szCs w:val="20"/>
        </w:rPr>
        <w:t>Información preliminar.</w:t>
      </w:r>
    </w:p>
    <w:p w:rsidR="00A2360D" w:rsidRPr="0047528A" w:rsidRDefault="00A2360D" w:rsidP="00A2360D">
      <w:pPr>
        <w:spacing w:before="120" w:after="120" w:line="276" w:lineRule="auto"/>
        <w:jc w:val="both"/>
        <w:rPr>
          <w:rFonts w:ascii="Noto Sans" w:hAnsi="Noto Sans" w:cs="Noto Sans"/>
          <w:i/>
          <w:sz w:val="16"/>
          <w:szCs w:val="20"/>
        </w:rPr>
      </w:pPr>
      <w:r w:rsidRPr="0047528A">
        <w:rPr>
          <w:rFonts w:ascii="Noto Sans" w:eastAsia="Times New Roman" w:hAnsi="Noto Sans" w:cs="Noto Sans"/>
          <w:i/>
          <w:color w:val="000000"/>
          <w:sz w:val="16"/>
          <w:szCs w:val="20"/>
        </w:rPr>
        <w:t>Fuente: Adaptado de INEGI, EDR, enero-septiembre de 2023</w:t>
      </w:r>
      <w:r w:rsidRPr="0047528A">
        <w:rPr>
          <w:rFonts w:ascii="Noto Sans" w:eastAsia="Times New Roman" w:hAnsi="Noto Sans" w:cs="Noto Sans"/>
          <w:i/>
          <w:color w:val="000000"/>
          <w:sz w:val="16"/>
          <w:szCs w:val="20"/>
          <w:vertAlign w:val="superscript"/>
        </w:rPr>
        <w:t>P</w:t>
      </w:r>
    </w:p>
    <w:p w:rsidR="00A2360D" w:rsidRPr="007715DC" w:rsidRDefault="00A2360D" w:rsidP="00A2360D">
      <w:pPr>
        <w:pBdr>
          <w:top w:val="nil"/>
          <w:left w:val="nil"/>
          <w:bottom w:val="nil"/>
          <w:right w:val="nil"/>
          <w:between w:val="nil"/>
        </w:pBdr>
        <w:spacing w:after="160" w:line="360" w:lineRule="auto"/>
        <w:ind w:right="-137" w:hanging="2"/>
        <w:jc w:val="both"/>
        <w:rPr>
          <w:rFonts w:ascii="Noto Sans" w:eastAsia="Times New Roman" w:hAnsi="Noto Sans" w:cs="Noto Sans"/>
          <w:color w:val="000000"/>
          <w:sz w:val="20"/>
          <w:szCs w:val="20"/>
        </w:rPr>
      </w:pPr>
      <w:r w:rsidRPr="007715DC">
        <w:rPr>
          <w:rFonts w:ascii="Noto Sans" w:eastAsia="Times New Roman" w:hAnsi="Noto Sans" w:cs="Noto Sans"/>
          <w:b/>
          <w:color w:val="000000"/>
          <w:sz w:val="20"/>
          <w:szCs w:val="20"/>
        </w:rPr>
        <w:t>Figura 3.</w:t>
      </w:r>
      <w:r w:rsidRPr="007715DC">
        <w:rPr>
          <w:rFonts w:ascii="Noto Sans" w:eastAsia="Times New Roman" w:hAnsi="Noto Sans" w:cs="Noto Sans"/>
          <w:color w:val="000000"/>
          <w:sz w:val="20"/>
          <w:szCs w:val="20"/>
        </w:rPr>
        <w:t xml:space="preserve"> Tasa de defunciones registradas por cada 100 mil habitantes</w:t>
      </w:r>
      <w:r w:rsidRPr="007715DC">
        <w:rPr>
          <w:rFonts w:ascii="Noto Sans" w:eastAsia="Times New Roman" w:hAnsi="Noto Sans" w:cs="Noto Sans"/>
          <w:color w:val="000000"/>
          <w:sz w:val="20"/>
          <w:szCs w:val="20"/>
          <w:vertAlign w:val="superscript"/>
        </w:rPr>
        <w:t>1</w:t>
      </w:r>
      <w:r w:rsidRPr="007715DC">
        <w:rPr>
          <w:rFonts w:ascii="Noto Sans" w:eastAsia="Times New Roman" w:hAnsi="Noto Sans" w:cs="Noto Sans"/>
          <w:color w:val="000000"/>
          <w:sz w:val="20"/>
          <w:szCs w:val="20"/>
        </w:rPr>
        <w:t>, según entidad federativa de residencia habitual de la persona fallecida. (Enero-Septiembre de 2023</w:t>
      </w:r>
      <w:r w:rsidRPr="007715DC">
        <w:rPr>
          <w:rFonts w:ascii="Noto Sans" w:eastAsia="Times New Roman" w:hAnsi="Noto Sans" w:cs="Noto Sans"/>
          <w:color w:val="000000"/>
          <w:sz w:val="20"/>
          <w:szCs w:val="20"/>
          <w:vertAlign w:val="superscript"/>
        </w:rPr>
        <w:t>P</w:t>
      </w:r>
      <w:r w:rsidRPr="007715DC">
        <w:rPr>
          <w:rFonts w:ascii="Noto Sans" w:eastAsia="Times New Roman" w:hAnsi="Noto Sans" w:cs="Noto Sans"/>
          <w:color w:val="000000"/>
          <w:sz w:val="20"/>
          <w:szCs w:val="20"/>
        </w:rPr>
        <w:t xml:space="preserve">) </w:t>
      </w:r>
    </w:p>
    <w:p w:rsidR="00A2360D" w:rsidRPr="007715DC" w:rsidRDefault="00A2360D" w:rsidP="00A2360D">
      <w:pPr>
        <w:spacing w:line="360" w:lineRule="auto"/>
        <w:ind w:hanging="2"/>
        <w:jc w:val="center"/>
        <w:rPr>
          <w:rFonts w:ascii="Noto Sans" w:eastAsia="Times New Roman" w:hAnsi="Noto Sans" w:cs="Noto Sans"/>
          <w:sz w:val="20"/>
          <w:szCs w:val="20"/>
        </w:rPr>
      </w:pPr>
      <w:r w:rsidRPr="007715DC">
        <w:rPr>
          <w:rFonts w:ascii="Noto Sans" w:eastAsia="Times New Roman" w:hAnsi="Noto Sans" w:cs="Noto Sans"/>
          <w:noProof/>
          <w:sz w:val="20"/>
          <w:szCs w:val="20"/>
          <w:lang w:val="en-US" w:eastAsia="en-US"/>
        </w:rPr>
        <w:drawing>
          <wp:inline distT="0" distB="0" distL="114300" distR="114300" wp14:anchorId="798AB9DA" wp14:editId="5A08E0EC">
            <wp:extent cx="4493260" cy="3239770"/>
            <wp:effectExtent l="0" t="0" r="0" b="0"/>
            <wp:docPr id="103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4493260" cy="3239770"/>
                    </a:xfrm>
                    <a:prstGeom prst="rect">
                      <a:avLst/>
                    </a:prstGeom>
                    <a:ln/>
                  </pic:spPr>
                </pic:pic>
              </a:graphicData>
            </a:graphic>
          </wp:inline>
        </w:drawing>
      </w:r>
    </w:p>
    <w:p w:rsidR="00A2360D" w:rsidRPr="0047528A" w:rsidRDefault="00A2360D" w:rsidP="00A2360D">
      <w:pPr>
        <w:spacing w:before="120" w:after="120" w:line="276" w:lineRule="auto"/>
        <w:jc w:val="both"/>
        <w:rPr>
          <w:rFonts w:ascii="Noto Sans" w:hAnsi="Noto Sans" w:cs="Noto Sans"/>
          <w:i/>
          <w:sz w:val="16"/>
          <w:szCs w:val="20"/>
        </w:rPr>
      </w:pPr>
      <w:r w:rsidRPr="0047528A">
        <w:rPr>
          <w:rFonts w:ascii="Noto Sans" w:eastAsia="Times New Roman" w:hAnsi="Noto Sans" w:cs="Noto Sans"/>
          <w:i/>
          <w:sz w:val="16"/>
          <w:szCs w:val="20"/>
        </w:rPr>
        <w:t>Fuente: Elaboración propia con datos de INEGI, EDR, enero-septiembre de 2023</w:t>
      </w:r>
      <w:r w:rsidRPr="0047528A">
        <w:rPr>
          <w:rFonts w:ascii="Noto Sans" w:eastAsia="Times New Roman" w:hAnsi="Noto Sans" w:cs="Noto Sans"/>
          <w:i/>
          <w:sz w:val="16"/>
          <w:szCs w:val="20"/>
          <w:vertAlign w:val="superscript"/>
        </w:rPr>
        <w:t>P</w:t>
      </w:r>
    </w:p>
    <w:p w:rsidR="00A2360D" w:rsidRPr="007715DC" w:rsidRDefault="00A2360D" w:rsidP="00A2360D">
      <w:pPr>
        <w:spacing w:before="120" w:after="120" w:line="276" w:lineRule="auto"/>
        <w:jc w:val="both"/>
        <w:rPr>
          <w:rFonts w:ascii="Noto Sans" w:hAnsi="Noto Sans" w:cs="Noto Sans"/>
          <w:sz w:val="20"/>
          <w:szCs w:val="20"/>
        </w:rPr>
      </w:pPr>
      <w:r w:rsidRPr="007715DC">
        <w:rPr>
          <w:rFonts w:ascii="Noto Sans" w:hAnsi="Noto Sans" w:cs="Noto Sans"/>
          <w:sz w:val="20"/>
          <w:szCs w:val="20"/>
        </w:rPr>
        <w:t xml:space="preserve">Al desglosarse por sexo, el 55.72% (328,643) de las defunciones correspondió al grupo de hombres, mientras que el 44.23% (260,873) fue atribuible al grupo de las mujeres. Al analizar </w:t>
      </w:r>
      <w:r w:rsidRPr="007715DC">
        <w:rPr>
          <w:rFonts w:ascii="Noto Sans" w:hAnsi="Noto Sans" w:cs="Noto Sans"/>
          <w:sz w:val="20"/>
          <w:szCs w:val="20"/>
        </w:rPr>
        <w:lastRenderedPageBreak/>
        <w:t>la distribución de los estados con el mayor número de defunciones, se observa que los estados de México, Ciudad de México y Veracruz, los cuales ocupan los tres primeros lugares en ambos sexos (Figura 4).</w:t>
      </w:r>
    </w:p>
    <w:p w:rsidR="00A2360D" w:rsidRPr="007715DC" w:rsidRDefault="00A2360D" w:rsidP="00A2360D">
      <w:pPr>
        <w:spacing w:before="120" w:after="120" w:line="276" w:lineRule="auto"/>
        <w:jc w:val="both"/>
        <w:rPr>
          <w:rFonts w:ascii="Noto Sans" w:hAnsi="Noto Sans" w:cs="Noto Sans"/>
          <w:sz w:val="20"/>
          <w:szCs w:val="20"/>
        </w:rPr>
      </w:pPr>
      <w:r w:rsidRPr="007715DC">
        <w:rPr>
          <w:rFonts w:ascii="Noto Sans" w:hAnsi="Noto Sans" w:cs="Noto Sans"/>
          <w:sz w:val="20"/>
          <w:szCs w:val="20"/>
        </w:rPr>
        <w:t>Durante las últimas tres décadas las principales causas de muerte en el país han variado, sin embargo predominan las enfermedades no trasmisibles. En 2023, las tres principales causas de muerte a nivel nacional entre enero y junio fueron las enfermedades del corazón, la diabetes mellitus y los tumores malignos (Tabla 3).</w:t>
      </w:r>
    </w:p>
    <w:p w:rsidR="00A2360D" w:rsidRPr="007715DC" w:rsidRDefault="00A2360D" w:rsidP="00A2360D">
      <w:pPr>
        <w:spacing w:line="360" w:lineRule="auto"/>
        <w:ind w:hanging="2"/>
        <w:jc w:val="both"/>
        <w:rPr>
          <w:rFonts w:ascii="Noto Sans" w:eastAsia="Times New Roman" w:hAnsi="Noto Sans" w:cs="Noto Sans"/>
          <w:color w:val="000000"/>
          <w:sz w:val="20"/>
          <w:szCs w:val="20"/>
        </w:rPr>
      </w:pPr>
      <w:r w:rsidRPr="007715DC">
        <w:rPr>
          <w:rFonts w:ascii="Noto Sans" w:eastAsia="Times New Roman" w:hAnsi="Noto Sans" w:cs="Noto Sans"/>
          <w:b/>
          <w:color w:val="000000"/>
          <w:sz w:val="20"/>
          <w:szCs w:val="20"/>
        </w:rPr>
        <w:t>Tabla 3.</w:t>
      </w:r>
      <w:r w:rsidRPr="007715DC">
        <w:rPr>
          <w:rFonts w:ascii="Noto Sans" w:eastAsia="Times New Roman" w:hAnsi="Noto Sans" w:cs="Noto Sans"/>
          <w:color w:val="000000"/>
          <w:sz w:val="20"/>
          <w:szCs w:val="20"/>
        </w:rPr>
        <w:t xml:space="preserve"> 10 principales causas y número de muertes en México, según sexo. (Enero-Junio de 2023</w:t>
      </w:r>
      <w:r w:rsidRPr="007715DC">
        <w:rPr>
          <w:rFonts w:ascii="Noto Sans" w:eastAsia="Times New Roman" w:hAnsi="Noto Sans" w:cs="Noto Sans"/>
          <w:color w:val="000000"/>
          <w:sz w:val="20"/>
          <w:szCs w:val="20"/>
          <w:vertAlign w:val="superscript"/>
        </w:rPr>
        <w:t>p</w:t>
      </w:r>
      <w:r w:rsidRPr="007715DC">
        <w:rPr>
          <w:rFonts w:ascii="Noto Sans" w:eastAsia="Times New Roman" w:hAnsi="Noto Sans" w:cs="Noto Sans"/>
          <w:color w:val="000000"/>
          <w:sz w:val="20"/>
          <w:szCs w:val="20"/>
        </w:rPr>
        <w:t>)</w:t>
      </w:r>
    </w:p>
    <w:tbl>
      <w:tblPr>
        <w:tblW w:w="8831" w:type="dxa"/>
        <w:tblInd w:w="-90" w:type="dxa"/>
        <w:tblLayout w:type="fixed"/>
        <w:tblLook w:val="0000" w:firstRow="0" w:lastRow="0" w:firstColumn="0" w:lastColumn="0" w:noHBand="0" w:noVBand="0"/>
      </w:tblPr>
      <w:tblGrid>
        <w:gridCol w:w="954"/>
        <w:gridCol w:w="2596"/>
        <w:gridCol w:w="2607"/>
        <w:gridCol w:w="2674"/>
      </w:tblGrid>
      <w:tr w:rsidR="00A2360D" w:rsidRPr="00AA6476" w:rsidTr="00A2360D">
        <w:trPr>
          <w:trHeight w:val="213"/>
          <w:tblHeader/>
        </w:trPr>
        <w:tc>
          <w:tcPr>
            <w:tcW w:w="954" w:type="dxa"/>
            <w:tcBorders>
              <w:top w:val="single" w:sz="8" w:space="0" w:color="BFBFBF"/>
              <w:left w:val="single" w:sz="8" w:space="0" w:color="BFBFBF"/>
              <w:bottom w:val="single" w:sz="8" w:space="0" w:color="BFBFBF"/>
              <w:right w:val="single" w:sz="8" w:space="0" w:color="BFBFBF"/>
            </w:tcBorders>
            <w:shd w:val="clear" w:color="auto" w:fill="404040" w:themeFill="text1" w:themeFillTint="BF"/>
            <w:tcMar>
              <w:top w:w="15" w:type="dxa"/>
              <w:left w:w="90" w:type="dxa"/>
              <w:bottom w:w="0" w:type="dxa"/>
              <w:right w:w="90" w:type="dxa"/>
            </w:tcMar>
          </w:tcPr>
          <w:p w:rsidR="00A2360D" w:rsidRPr="00AA6476" w:rsidRDefault="00A2360D" w:rsidP="00A2360D">
            <w:pPr>
              <w:spacing w:line="276" w:lineRule="auto"/>
              <w:ind w:hanging="2"/>
              <w:jc w:val="both"/>
              <w:rPr>
                <w:rFonts w:ascii="Noto Sans" w:eastAsia="Times New Roman" w:hAnsi="Noto Sans" w:cs="Noto Sans"/>
                <w:color w:val="FFFFFF" w:themeColor="background1"/>
                <w:sz w:val="16"/>
                <w:szCs w:val="16"/>
              </w:rPr>
            </w:pPr>
            <w:r w:rsidRPr="00AA6476">
              <w:rPr>
                <w:rFonts w:ascii="Noto Sans" w:eastAsia="Times New Roman" w:hAnsi="Noto Sans" w:cs="Noto Sans"/>
                <w:b/>
                <w:color w:val="FFFFFF" w:themeColor="background1"/>
                <w:sz w:val="16"/>
                <w:szCs w:val="16"/>
              </w:rPr>
              <w:t>Rango</w:t>
            </w:r>
          </w:p>
        </w:tc>
        <w:tc>
          <w:tcPr>
            <w:tcW w:w="2596" w:type="dxa"/>
            <w:tcBorders>
              <w:top w:val="single" w:sz="8" w:space="0" w:color="BFBFBF"/>
              <w:left w:val="single" w:sz="8" w:space="0" w:color="BFBFBF"/>
              <w:bottom w:val="single" w:sz="8" w:space="0" w:color="BFBFBF"/>
              <w:right w:val="single" w:sz="8" w:space="0" w:color="BFBFBF"/>
            </w:tcBorders>
            <w:shd w:val="clear" w:color="auto" w:fill="404040" w:themeFill="text1" w:themeFillTint="BF"/>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color w:val="FFFFFF" w:themeColor="background1"/>
                <w:sz w:val="16"/>
                <w:szCs w:val="16"/>
              </w:rPr>
            </w:pPr>
            <w:r w:rsidRPr="00AA6476">
              <w:rPr>
                <w:rFonts w:ascii="Noto Sans" w:eastAsia="Times New Roman" w:hAnsi="Noto Sans" w:cs="Noto Sans"/>
                <w:b/>
                <w:color w:val="FFFFFF" w:themeColor="background1"/>
                <w:sz w:val="16"/>
                <w:szCs w:val="16"/>
              </w:rPr>
              <w:t>Total</w:t>
            </w:r>
          </w:p>
        </w:tc>
        <w:tc>
          <w:tcPr>
            <w:tcW w:w="2607" w:type="dxa"/>
            <w:tcBorders>
              <w:top w:val="single" w:sz="8" w:space="0" w:color="BFBFBF"/>
              <w:left w:val="single" w:sz="8" w:space="0" w:color="BFBFBF"/>
              <w:bottom w:val="single" w:sz="8" w:space="0" w:color="BFBFBF"/>
              <w:right w:val="single" w:sz="8" w:space="0" w:color="BFBFBF"/>
            </w:tcBorders>
            <w:shd w:val="clear" w:color="auto" w:fill="26642E"/>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color w:val="FFFFFF" w:themeColor="background1"/>
                <w:sz w:val="16"/>
                <w:szCs w:val="16"/>
              </w:rPr>
            </w:pPr>
            <w:r w:rsidRPr="00AA6476">
              <w:rPr>
                <w:rFonts w:ascii="Noto Sans" w:eastAsia="Times New Roman" w:hAnsi="Noto Sans" w:cs="Noto Sans"/>
                <w:b/>
                <w:color w:val="FFFFFF" w:themeColor="background1"/>
                <w:sz w:val="16"/>
                <w:szCs w:val="16"/>
              </w:rPr>
              <w:t>Hombre</w:t>
            </w:r>
          </w:p>
        </w:tc>
        <w:tc>
          <w:tcPr>
            <w:tcW w:w="2674" w:type="dxa"/>
            <w:tcBorders>
              <w:top w:val="single" w:sz="8" w:space="0" w:color="BFBFBF"/>
              <w:left w:val="single" w:sz="8" w:space="0" w:color="BFBFBF"/>
              <w:bottom w:val="single" w:sz="8" w:space="0" w:color="BFBFBF"/>
              <w:right w:val="single" w:sz="8" w:space="0" w:color="BFBFBF"/>
            </w:tcBorders>
            <w:shd w:val="clear" w:color="auto" w:fill="9A0003"/>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color w:val="FFFFFF" w:themeColor="background1"/>
                <w:sz w:val="16"/>
                <w:szCs w:val="16"/>
              </w:rPr>
            </w:pPr>
            <w:r w:rsidRPr="00AA6476">
              <w:rPr>
                <w:rFonts w:ascii="Noto Sans" w:eastAsia="Times New Roman" w:hAnsi="Noto Sans" w:cs="Noto Sans"/>
                <w:b/>
                <w:color w:val="FFFFFF" w:themeColor="background1"/>
                <w:sz w:val="16"/>
                <w:szCs w:val="16"/>
              </w:rPr>
              <w:t>Mujer</w:t>
            </w:r>
          </w:p>
        </w:tc>
      </w:tr>
      <w:tr w:rsidR="00A2360D" w:rsidRPr="00AA6476" w:rsidTr="00A2360D">
        <w:trPr>
          <w:trHeight w:val="581"/>
        </w:trPr>
        <w:tc>
          <w:tcPr>
            <w:tcW w:w="954" w:type="dxa"/>
            <w:tcBorders>
              <w:top w:val="single" w:sz="8" w:space="0" w:color="BFBFBF"/>
              <w:left w:val="single" w:sz="8" w:space="0" w:color="BFBFBF"/>
              <w:bottom w:val="single" w:sz="8" w:space="0" w:color="BFBFBF"/>
              <w:right w:val="single" w:sz="8" w:space="0" w:color="BFBFBF"/>
            </w:tcBorders>
            <w:shd w:val="clear" w:color="auto" w:fill="D9D9D9" w:themeFill="background1" w:themeFillShade="D9"/>
            <w:tcMar>
              <w:top w:w="15" w:type="dxa"/>
              <w:left w:w="90" w:type="dxa"/>
              <w:bottom w:w="0" w:type="dxa"/>
              <w:right w:w="90" w:type="dxa"/>
            </w:tcMar>
          </w:tcPr>
          <w:p w:rsidR="00A2360D" w:rsidRPr="00AA6476" w:rsidRDefault="00A2360D" w:rsidP="00A2360D">
            <w:pPr>
              <w:spacing w:line="276" w:lineRule="auto"/>
              <w:ind w:hanging="2"/>
              <w:jc w:val="both"/>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1</w:t>
            </w:r>
          </w:p>
        </w:tc>
        <w:tc>
          <w:tcPr>
            <w:tcW w:w="2596"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Enfermedades del corazón</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97,187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(105,752 defunciones en 2022)</w:t>
            </w:r>
          </w:p>
        </w:tc>
        <w:tc>
          <w:tcPr>
            <w:tcW w:w="2607"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Enfermedades del corazón</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51,184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(57,040 defunciones en 2022)</w:t>
            </w:r>
          </w:p>
        </w:tc>
        <w:tc>
          <w:tcPr>
            <w:tcW w:w="2674"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Enfermedades del corazón</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45,995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(48,702 defunciones en 2022)</w:t>
            </w:r>
          </w:p>
        </w:tc>
      </w:tr>
      <w:tr w:rsidR="00A2360D" w:rsidRPr="00AA6476" w:rsidTr="00A2360D">
        <w:trPr>
          <w:trHeight w:val="581"/>
        </w:trPr>
        <w:tc>
          <w:tcPr>
            <w:tcW w:w="954" w:type="dxa"/>
            <w:tcBorders>
              <w:top w:val="single" w:sz="8" w:space="0" w:color="BFBFBF"/>
              <w:left w:val="single" w:sz="8" w:space="0" w:color="BFBFBF"/>
              <w:bottom w:val="single" w:sz="8" w:space="0" w:color="BFBFBF"/>
              <w:right w:val="single" w:sz="8" w:space="0" w:color="BFBFBF"/>
            </w:tcBorders>
            <w:shd w:val="clear" w:color="auto" w:fill="D9D9D9" w:themeFill="background1" w:themeFillShade="D9"/>
            <w:tcMar>
              <w:top w:w="15" w:type="dxa"/>
              <w:left w:w="90" w:type="dxa"/>
              <w:bottom w:w="0" w:type="dxa"/>
              <w:right w:w="90" w:type="dxa"/>
            </w:tcMar>
          </w:tcPr>
          <w:p w:rsidR="00A2360D" w:rsidRPr="00AA6476" w:rsidRDefault="00A2360D" w:rsidP="00A2360D">
            <w:pPr>
              <w:spacing w:line="276" w:lineRule="auto"/>
              <w:ind w:hanging="2"/>
              <w:jc w:val="both"/>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2</w:t>
            </w:r>
          </w:p>
        </w:tc>
        <w:tc>
          <w:tcPr>
            <w:tcW w:w="2596"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Diabetes mellitus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55,885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(59,568 defunciones en 2022)</w:t>
            </w:r>
          </w:p>
        </w:tc>
        <w:tc>
          <w:tcPr>
            <w:tcW w:w="2607"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Diabetes mellitus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27,469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(29871 defunciones en 2022)</w:t>
            </w:r>
          </w:p>
        </w:tc>
        <w:tc>
          <w:tcPr>
            <w:tcW w:w="2674"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Diabetes mellitus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28,415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(29,696 defunciones en 2022)</w:t>
            </w:r>
          </w:p>
        </w:tc>
      </w:tr>
      <w:tr w:rsidR="00A2360D" w:rsidRPr="00AA6476" w:rsidTr="00A2360D">
        <w:trPr>
          <w:trHeight w:val="581"/>
        </w:trPr>
        <w:tc>
          <w:tcPr>
            <w:tcW w:w="954" w:type="dxa"/>
            <w:tcBorders>
              <w:top w:val="single" w:sz="8" w:space="0" w:color="BFBFBF"/>
              <w:left w:val="single" w:sz="8" w:space="0" w:color="BFBFBF"/>
              <w:bottom w:val="single" w:sz="8" w:space="0" w:color="BFBFBF"/>
              <w:right w:val="single" w:sz="8" w:space="0" w:color="BFBFBF"/>
            </w:tcBorders>
            <w:shd w:val="clear" w:color="auto" w:fill="D9D9D9" w:themeFill="background1" w:themeFillShade="D9"/>
            <w:tcMar>
              <w:top w:w="15" w:type="dxa"/>
              <w:left w:w="90" w:type="dxa"/>
              <w:bottom w:w="0" w:type="dxa"/>
              <w:right w:w="90" w:type="dxa"/>
            </w:tcMar>
          </w:tcPr>
          <w:p w:rsidR="00A2360D" w:rsidRPr="00AA6476" w:rsidRDefault="00A2360D" w:rsidP="00A2360D">
            <w:pPr>
              <w:spacing w:line="276" w:lineRule="auto"/>
              <w:ind w:hanging="2"/>
              <w:jc w:val="both"/>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3</w:t>
            </w:r>
          </w:p>
        </w:tc>
        <w:tc>
          <w:tcPr>
            <w:tcW w:w="2596"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Tumores malignos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45,409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(44,322 defunciones en 2022)</w:t>
            </w:r>
          </w:p>
        </w:tc>
        <w:tc>
          <w:tcPr>
            <w:tcW w:w="2607"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Tumores malignos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21,529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(21,266 defunciones en 2022)</w:t>
            </w:r>
          </w:p>
        </w:tc>
        <w:tc>
          <w:tcPr>
            <w:tcW w:w="2674"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Tumores malignos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23,880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(23,054 defunciones en 2022)</w:t>
            </w:r>
          </w:p>
        </w:tc>
      </w:tr>
      <w:tr w:rsidR="00A2360D" w:rsidRPr="00AA6476" w:rsidTr="00A2360D">
        <w:trPr>
          <w:trHeight w:val="581"/>
        </w:trPr>
        <w:tc>
          <w:tcPr>
            <w:tcW w:w="954" w:type="dxa"/>
            <w:tcBorders>
              <w:top w:val="single" w:sz="8" w:space="0" w:color="BFBFBF"/>
              <w:left w:val="single" w:sz="8" w:space="0" w:color="BFBFBF"/>
              <w:bottom w:val="single" w:sz="8" w:space="0" w:color="BFBFBF"/>
              <w:right w:val="single" w:sz="8" w:space="0" w:color="BFBFBF"/>
            </w:tcBorders>
            <w:shd w:val="clear" w:color="auto" w:fill="D9D9D9" w:themeFill="background1" w:themeFillShade="D9"/>
            <w:tcMar>
              <w:top w:w="15" w:type="dxa"/>
              <w:left w:w="90" w:type="dxa"/>
              <w:bottom w:w="0" w:type="dxa"/>
              <w:right w:w="90" w:type="dxa"/>
            </w:tcMar>
          </w:tcPr>
          <w:p w:rsidR="00A2360D" w:rsidRPr="00AA6476" w:rsidRDefault="00A2360D" w:rsidP="00A2360D">
            <w:pPr>
              <w:spacing w:line="276" w:lineRule="auto"/>
              <w:ind w:hanging="2"/>
              <w:jc w:val="both"/>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4</w:t>
            </w:r>
          </w:p>
        </w:tc>
        <w:tc>
          <w:tcPr>
            <w:tcW w:w="2596"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Enfermedades del hígado</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19,819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(20,547 defunciones)</w:t>
            </w:r>
          </w:p>
        </w:tc>
        <w:tc>
          <w:tcPr>
            <w:tcW w:w="2607"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Accidentes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14,858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(14,413 defunciones en 2022)</w:t>
            </w:r>
          </w:p>
        </w:tc>
        <w:tc>
          <w:tcPr>
            <w:tcW w:w="2674"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Enfermedades cerebrovasculares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8,682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(9,115 defunciones en 2022)</w:t>
            </w:r>
          </w:p>
        </w:tc>
      </w:tr>
      <w:tr w:rsidR="00A2360D" w:rsidRPr="00AA6476" w:rsidTr="00A2360D">
        <w:trPr>
          <w:trHeight w:val="581"/>
        </w:trPr>
        <w:tc>
          <w:tcPr>
            <w:tcW w:w="954" w:type="dxa"/>
            <w:tcBorders>
              <w:top w:val="single" w:sz="8" w:space="0" w:color="BFBFBF"/>
              <w:left w:val="single" w:sz="8" w:space="0" w:color="BFBFBF"/>
              <w:bottom w:val="single" w:sz="8" w:space="0" w:color="BFBFBF"/>
              <w:right w:val="single" w:sz="8" w:space="0" w:color="BFBFBF"/>
            </w:tcBorders>
            <w:shd w:val="clear" w:color="auto" w:fill="D9D9D9" w:themeFill="background1" w:themeFillShade="D9"/>
            <w:tcMar>
              <w:top w:w="15" w:type="dxa"/>
              <w:left w:w="90" w:type="dxa"/>
              <w:bottom w:w="0" w:type="dxa"/>
              <w:right w:w="90" w:type="dxa"/>
            </w:tcMar>
          </w:tcPr>
          <w:p w:rsidR="00A2360D" w:rsidRPr="00AA6476" w:rsidRDefault="00A2360D" w:rsidP="00A2360D">
            <w:pPr>
              <w:spacing w:line="276" w:lineRule="auto"/>
              <w:ind w:hanging="2"/>
              <w:jc w:val="both"/>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5</w:t>
            </w:r>
          </w:p>
        </w:tc>
        <w:tc>
          <w:tcPr>
            <w:tcW w:w="2596"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Accidentes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19,230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(18,648 defunciones en 2022)</w:t>
            </w:r>
          </w:p>
        </w:tc>
        <w:tc>
          <w:tcPr>
            <w:tcW w:w="2607"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Enfermedades del hígado</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14,313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(15,030 defunciones en 2022)</w:t>
            </w:r>
          </w:p>
        </w:tc>
        <w:tc>
          <w:tcPr>
            <w:tcW w:w="2674"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Influenza y neumonía</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7,258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(7,094 defunciones en 2022)</w:t>
            </w:r>
          </w:p>
        </w:tc>
      </w:tr>
      <w:tr w:rsidR="00A2360D" w:rsidRPr="00AA6476" w:rsidTr="00A2360D">
        <w:trPr>
          <w:trHeight w:val="581"/>
        </w:trPr>
        <w:tc>
          <w:tcPr>
            <w:tcW w:w="954" w:type="dxa"/>
            <w:tcBorders>
              <w:top w:val="single" w:sz="8" w:space="0" w:color="BFBFBF"/>
              <w:left w:val="single" w:sz="8" w:space="0" w:color="BFBFBF"/>
              <w:bottom w:val="single" w:sz="8" w:space="0" w:color="BFBFBF"/>
              <w:right w:val="single" w:sz="8" w:space="0" w:color="BFBFBF"/>
            </w:tcBorders>
            <w:shd w:val="clear" w:color="auto" w:fill="D9D9D9" w:themeFill="background1" w:themeFillShade="D9"/>
            <w:tcMar>
              <w:top w:w="15" w:type="dxa"/>
              <w:left w:w="90" w:type="dxa"/>
              <w:bottom w:w="0" w:type="dxa"/>
              <w:right w:w="90" w:type="dxa"/>
            </w:tcMar>
          </w:tcPr>
          <w:p w:rsidR="00A2360D" w:rsidRPr="00AA6476" w:rsidRDefault="00A2360D" w:rsidP="00A2360D">
            <w:pPr>
              <w:spacing w:line="276" w:lineRule="auto"/>
              <w:ind w:hanging="2"/>
              <w:jc w:val="both"/>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6</w:t>
            </w:r>
          </w:p>
        </w:tc>
        <w:tc>
          <w:tcPr>
            <w:tcW w:w="2596"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Enfermedades cerebrovasculares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17,766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(18,550 defunciones en 2022)</w:t>
            </w:r>
          </w:p>
        </w:tc>
        <w:tc>
          <w:tcPr>
            <w:tcW w:w="2607"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Agresiones (homicidios)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13,270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(14,020 defunciones en 2022)</w:t>
            </w:r>
          </w:p>
        </w:tc>
        <w:tc>
          <w:tcPr>
            <w:tcW w:w="2674"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Enfermedades del hígado</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5,503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(5,513 defunciones en 2022)</w:t>
            </w:r>
          </w:p>
        </w:tc>
      </w:tr>
      <w:tr w:rsidR="00A2360D" w:rsidRPr="00AA6476" w:rsidTr="00A2360D">
        <w:trPr>
          <w:trHeight w:val="1360"/>
        </w:trPr>
        <w:tc>
          <w:tcPr>
            <w:tcW w:w="954" w:type="dxa"/>
            <w:tcBorders>
              <w:top w:val="single" w:sz="8" w:space="0" w:color="BFBFBF"/>
              <w:left w:val="single" w:sz="8" w:space="0" w:color="BFBFBF"/>
              <w:bottom w:val="single" w:sz="8" w:space="0" w:color="BFBFBF"/>
              <w:right w:val="single" w:sz="8" w:space="0" w:color="BFBFBF"/>
            </w:tcBorders>
            <w:shd w:val="clear" w:color="auto" w:fill="D9D9D9" w:themeFill="background1" w:themeFillShade="D9"/>
            <w:tcMar>
              <w:top w:w="15" w:type="dxa"/>
              <w:left w:w="90" w:type="dxa"/>
              <w:bottom w:w="0" w:type="dxa"/>
              <w:right w:w="90" w:type="dxa"/>
            </w:tcMar>
          </w:tcPr>
          <w:p w:rsidR="00A2360D" w:rsidRPr="00AA6476" w:rsidRDefault="00A2360D" w:rsidP="00A2360D">
            <w:pPr>
              <w:spacing w:line="276" w:lineRule="auto"/>
              <w:ind w:hanging="2"/>
              <w:jc w:val="both"/>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7</w:t>
            </w:r>
          </w:p>
        </w:tc>
        <w:tc>
          <w:tcPr>
            <w:tcW w:w="2596"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Influenza y neumonía</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16,386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(17,103 defunciones en 2022)</w:t>
            </w:r>
          </w:p>
        </w:tc>
        <w:tc>
          <w:tcPr>
            <w:tcW w:w="2607"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Influenza y neumonía</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9,128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(10,004 defunciones en 2022)</w:t>
            </w:r>
          </w:p>
        </w:tc>
        <w:tc>
          <w:tcPr>
            <w:tcW w:w="2674"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Enfermedades pulmonares obstructivas crónicas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4,803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(4,404 defunciones en 2022)</w:t>
            </w:r>
          </w:p>
        </w:tc>
      </w:tr>
      <w:tr w:rsidR="00A2360D" w:rsidRPr="00AA6476" w:rsidTr="00A2360D">
        <w:trPr>
          <w:trHeight w:val="581"/>
        </w:trPr>
        <w:tc>
          <w:tcPr>
            <w:tcW w:w="954" w:type="dxa"/>
            <w:tcBorders>
              <w:top w:val="single" w:sz="8" w:space="0" w:color="BFBFBF"/>
              <w:left w:val="single" w:sz="8" w:space="0" w:color="BFBFBF"/>
              <w:bottom w:val="single" w:sz="8" w:space="0" w:color="BFBFBF"/>
              <w:right w:val="single" w:sz="8" w:space="0" w:color="BFBFBF"/>
            </w:tcBorders>
            <w:shd w:val="clear" w:color="auto" w:fill="D9D9D9" w:themeFill="background1" w:themeFillShade="D9"/>
            <w:tcMar>
              <w:top w:w="15" w:type="dxa"/>
              <w:left w:w="90" w:type="dxa"/>
              <w:bottom w:w="0" w:type="dxa"/>
              <w:right w:w="90" w:type="dxa"/>
            </w:tcMar>
          </w:tcPr>
          <w:p w:rsidR="00A2360D" w:rsidRPr="00AA6476" w:rsidRDefault="00A2360D" w:rsidP="00A2360D">
            <w:pPr>
              <w:spacing w:line="276" w:lineRule="auto"/>
              <w:ind w:hanging="2"/>
              <w:jc w:val="both"/>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8</w:t>
            </w:r>
          </w:p>
        </w:tc>
        <w:tc>
          <w:tcPr>
            <w:tcW w:w="2596"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Agresiones (homicidios)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15,082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(16,316 defunciones en 2022)</w:t>
            </w:r>
          </w:p>
        </w:tc>
        <w:tc>
          <w:tcPr>
            <w:tcW w:w="2607"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Enfermedades cerebrovasculares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9,081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(9,434 defunciones en 2022)</w:t>
            </w:r>
          </w:p>
        </w:tc>
        <w:tc>
          <w:tcPr>
            <w:tcW w:w="2674"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Accidentes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4,353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(4,190 defunciones en 2022)</w:t>
            </w:r>
          </w:p>
        </w:tc>
      </w:tr>
      <w:tr w:rsidR="00A2360D" w:rsidRPr="00AA6476" w:rsidTr="00A2360D">
        <w:trPr>
          <w:trHeight w:val="581"/>
        </w:trPr>
        <w:tc>
          <w:tcPr>
            <w:tcW w:w="954" w:type="dxa"/>
            <w:tcBorders>
              <w:top w:val="single" w:sz="8" w:space="0" w:color="BFBFBF"/>
              <w:left w:val="single" w:sz="8" w:space="0" w:color="BFBFBF"/>
              <w:bottom w:val="single" w:sz="8" w:space="0" w:color="BFBFBF"/>
              <w:right w:val="single" w:sz="8" w:space="0" w:color="BFBFBF"/>
            </w:tcBorders>
            <w:shd w:val="clear" w:color="auto" w:fill="D9D9D9" w:themeFill="background1" w:themeFillShade="D9"/>
            <w:tcMar>
              <w:top w:w="15" w:type="dxa"/>
              <w:left w:w="90" w:type="dxa"/>
              <w:bottom w:w="0" w:type="dxa"/>
              <w:right w:w="90" w:type="dxa"/>
            </w:tcMar>
          </w:tcPr>
          <w:p w:rsidR="00A2360D" w:rsidRPr="00AA6476" w:rsidRDefault="00A2360D" w:rsidP="00A2360D">
            <w:pPr>
              <w:spacing w:line="276" w:lineRule="auto"/>
              <w:ind w:hanging="2"/>
              <w:jc w:val="both"/>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9</w:t>
            </w:r>
          </w:p>
        </w:tc>
        <w:tc>
          <w:tcPr>
            <w:tcW w:w="2596"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Enfermedades pulmonares obstructivas crónicas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9,953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(9,394 defunciones en 2022)</w:t>
            </w:r>
          </w:p>
        </w:tc>
        <w:tc>
          <w:tcPr>
            <w:tcW w:w="2607"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Enfermedades pulmonares obstructivas crónicas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5,149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(4,990 defunciones en 2022)</w:t>
            </w:r>
          </w:p>
        </w:tc>
        <w:tc>
          <w:tcPr>
            <w:tcW w:w="2674"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Insuficiencia renal</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3,454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(3,003 defunciones en 2022)</w:t>
            </w:r>
          </w:p>
        </w:tc>
      </w:tr>
      <w:tr w:rsidR="00A2360D" w:rsidRPr="00AA6476" w:rsidTr="00A2360D">
        <w:trPr>
          <w:trHeight w:val="601"/>
        </w:trPr>
        <w:tc>
          <w:tcPr>
            <w:tcW w:w="954" w:type="dxa"/>
            <w:tcBorders>
              <w:top w:val="single" w:sz="8" w:space="0" w:color="BFBFBF"/>
              <w:left w:val="single" w:sz="8" w:space="0" w:color="BFBFBF"/>
              <w:bottom w:val="single" w:sz="8" w:space="0" w:color="BFBFBF"/>
              <w:right w:val="single" w:sz="8" w:space="0" w:color="BFBFBF"/>
            </w:tcBorders>
            <w:shd w:val="clear" w:color="auto" w:fill="D9D9D9" w:themeFill="background1" w:themeFillShade="D9"/>
            <w:tcMar>
              <w:top w:w="15" w:type="dxa"/>
              <w:left w:w="90" w:type="dxa"/>
              <w:bottom w:w="0" w:type="dxa"/>
              <w:right w:w="90" w:type="dxa"/>
            </w:tcMar>
          </w:tcPr>
          <w:p w:rsidR="00A2360D" w:rsidRPr="00AA6476" w:rsidRDefault="00A2360D" w:rsidP="00A2360D">
            <w:pPr>
              <w:spacing w:line="276" w:lineRule="auto"/>
              <w:ind w:hanging="2"/>
              <w:jc w:val="both"/>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lastRenderedPageBreak/>
              <w:t>10</w:t>
            </w:r>
          </w:p>
        </w:tc>
        <w:tc>
          <w:tcPr>
            <w:tcW w:w="2596"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Insuficiencia renal</w:t>
            </w:r>
          </w:p>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7,800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(6,897 defunciones en 2022)</w:t>
            </w:r>
          </w:p>
        </w:tc>
        <w:tc>
          <w:tcPr>
            <w:tcW w:w="2607"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Insuficiencia renal</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4,346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(3,384 defunciones en 2022)</w:t>
            </w:r>
          </w:p>
        </w:tc>
        <w:tc>
          <w:tcPr>
            <w:tcW w:w="2674" w:type="dxa"/>
            <w:tcBorders>
              <w:top w:val="single" w:sz="8" w:space="0" w:color="BFBFBF"/>
              <w:left w:val="single" w:sz="8" w:space="0" w:color="BFBFBF"/>
              <w:bottom w:val="single" w:sz="8" w:space="0" w:color="BFBFBF"/>
              <w:right w:val="single" w:sz="8" w:space="0" w:color="BFBFBF"/>
            </w:tcBorders>
            <w:tcMar>
              <w:top w:w="15" w:type="dxa"/>
              <w:left w:w="90" w:type="dxa"/>
              <w:bottom w:w="0" w:type="dxa"/>
              <w:right w:w="90" w:type="dxa"/>
            </w:tcMar>
          </w:tcPr>
          <w:p w:rsidR="00A2360D" w:rsidRPr="00AA6476" w:rsidRDefault="00A2360D" w:rsidP="00A2360D">
            <w:pPr>
              <w:spacing w:line="276" w:lineRule="auto"/>
              <w:ind w:hanging="2"/>
              <w:jc w:val="center"/>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Septicemia</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1,876 defunciones</w:t>
            </w:r>
          </w:p>
          <w:p w:rsidR="00A2360D" w:rsidRPr="00AA6476" w:rsidRDefault="00A2360D" w:rsidP="00A2360D">
            <w:pPr>
              <w:spacing w:line="276" w:lineRule="auto"/>
              <w:ind w:hanging="2"/>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(1,664 defunciones en 2022)</w:t>
            </w:r>
          </w:p>
        </w:tc>
      </w:tr>
    </w:tbl>
    <w:p w:rsidR="00A2360D" w:rsidRPr="0047528A" w:rsidRDefault="00A2360D" w:rsidP="00A2360D">
      <w:pPr>
        <w:spacing w:before="120" w:after="120" w:line="276" w:lineRule="auto"/>
        <w:rPr>
          <w:rFonts w:ascii="Noto Sans" w:hAnsi="Noto Sans" w:cs="Noto Sans"/>
          <w:i/>
          <w:sz w:val="16"/>
          <w:szCs w:val="20"/>
        </w:rPr>
      </w:pPr>
      <w:r w:rsidRPr="0047528A">
        <w:rPr>
          <w:rFonts w:ascii="Noto Sans" w:eastAsia="Times New Roman" w:hAnsi="Noto Sans" w:cs="Noto Sans"/>
          <w:i/>
          <w:sz w:val="16"/>
          <w:szCs w:val="20"/>
        </w:rPr>
        <w:t>1 Los criterios para la selección se encuentran en la Nota técnica «Criterios para la selección de las principales causas de muerte». El total incluye 218 casos en los que no se especificó́ el sexo de la persona.</w:t>
      </w:r>
      <w:r w:rsidRPr="0047528A">
        <w:rPr>
          <w:rFonts w:ascii="Noto Sans" w:eastAsia="Times New Roman" w:hAnsi="Noto Sans" w:cs="Noto Sans"/>
          <w:i/>
          <w:sz w:val="16"/>
          <w:szCs w:val="20"/>
        </w:rPr>
        <w:br/>
      </w:r>
      <w:r w:rsidRPr="0047528A">
        <w:rPr>
          <w:rFonts w:ascii="Noto Sans" w:eastAsia="Times New Roman" w:hAnsi="Noto Sans" w:cs="Noto Sans"/>
          <w:i/>
          <w:sz w:val="16"/>
          <w:szCs w:val="20"/>
          <w:vertAlign w:val="superscript"/>
        </w:rPr>
        <w:t xml:space="preserve">p </w:t>
      </w:r>
      <w:r w:rsidRPr="0047528A">
        <w:rPr>
          <w:rFonts w:ascii="Noto Sans" w:eastAsia="Times New Roman" w:hAnsi="Noto Sans" w:cs="Noto Sans"/>
          <w:i/>
          <w:sz w:val="16"/>
          <w:szCs w:val="20"/>
        </w:rPr>
        <w:t xml:space="preserve">Información preliminar. </w:t>
      </w:r>
      <w:r w:rsidRPr="0047528A">
        <w:rPr>
          <w:rFonts w:ascii="Noto Sans" w:eastAsia="Times New Roman" w:hAnsi="Noto Sans" w:cs="Noto Sans"/>
          <w:i/>
          <w:sz w:val="16"/>
          <w:szCs w:val="20"/>
        </w:rPr>
        <w:br/>
        <w:t>Fuente: Adaptado de INEGI, EDR, enero-septiembre de 2023</w:t>
      </w:r>
      <w:r w:rsidRPr="0047528A">
        <w:rPr>
          <w:rFonts w:ascii="Noto Sans" w:eastAsia="Times New Roman" w:hAnsi="Noto Sans" w:cs="Noto Sans"/>
          <w:i/>
          <w:sz w:val="16"/>
          <w:szCs w:val="20"/>
          <w:vertAlign w:val="superscript"/>
        </w:rPr>
        <w:t>P</w:t>
      </w:r>
    </w:p>
    <w:p w:rsidR="00A2360D" w:rsidRPr="007715DC" w:rsidRDefault="00A2360D" w:rsidP="00A2360D">
      <w:pPr>
        <w:spacing w:before="120" w:after="120" w:line="276" w:lineRule="auto"/>
        <w:jc w:val="both"/>
        <w:rPr>
          <w:rFonts w:ascii="Noto Sans" w:hAnsi="Noto Sans" w:cs="Noto Sans"/>
          <w:sz w:val="20"/>
          <w:szCs w:val="20"/>
        </w:rPr>
      </w:pPr>
      <w:r w:rsidRPr="007715DC">
        <w:rPr>
          <w:rFonts w:ascii="Noto Sans" w:hAnsi="Noto Sans" w:cs="Noto Sans"/>
          <w:sz w:val="20"/>
          <w:szCs w:val="20"/>
        </w:rPr>
        <w:t>En el mismo año, se presenta una disparidad en las causas de muerte al analizar por grupo de edad (Tabla 4). En los grupos de menores de 4 años, predominaron las afecciones originadas en el período perinatal, así como malformaciones congénitas, deformidades y anomalías cromosómicas. En el grupo de edades de 5 a 24 años, los accidentes fueron la principal causa de mortalidad. Para las personas de 25 a 44 años, las agresiones como homicidios son los más frecuentes, mientras que en aquellos mayores de 45 años, las enfermedades crónicas como enfermedades del corazón y diabetes mellitus fueron las principales responsables de muerte.</w:t>
      </w:r>
    </w:p>
    <w:p w:rsidR="00A2360D" w:rsidRPr="007715DC" w:rsidRDefault="00A2360D" w:rsidP="00A2360D">
      <w:pPr>
        <w:spacing w:before="120" w:after="120" w:line="276" w:lineRule="auto"/>
        <w:jc w:val="both"/>
        <w:rPr>
          <w:rFonts w:ascii="Noto Sans" w:hAnsi="Noto Sans" w:cs="Noto Sans"/>
          <w:sz w:val="20"/>
          <w:szCs w:val="20"/>
        </w:rPr>
      </w:pPr>
    </w:p>
    <w:p w:rsidR="00A2360D" w:rsidRPr="007715DC" w:rsidRDefault="00A2360D" w:rsidP="00A2360D">
      <w:pPr>
        <w:spacing w:line="360" w:lineRule="auto"/>
        <w:ind w:hanging="2"/>
        <w:jc w:val="both"/>
        <w:rPr>
          <w:rFonts w:ascii="Noto Sans" w:eastAsia="Times New Roman" w:hAnsi="Noto Sans" w:cs="Noto Sans"/>
          <w:color w:val="000000"/>
          <w:sz w:val="20"/>
          <w:szCs w:val="20"/>
        </w:rPr>
      </w:pPr>
      <w:r w:rsidRPr="007715DC">
        <w:rPr>
          <w:rFonts w:ascii="Noto Sans" w:eastAsia="Times New Roman" w:hAnsi="Noto Sans" w:cs="Noto Sans"/>
          <w:b/>
          <w:color w:val="000000"/>
          <w:sz w:val="20"/>
          <w:szCs w:val="20"/>
        </w:rPr>
        <w:t>Tabla 4.</w:t>
      </w:r>
      <w:r w:rsidRPr="007715DC">
        <w:rPr>
          <w:rFonts w:ascii="Noto Sans" w:eastAsia="Times New Roman" w:hAnsi="Noto Sans" w:cs="Noto Sans"/>
          <w:color w:val="000000"/>
          <w:sz w:val="20"/>
          <w:szCs w:val="20"/>
        </w:rPr>
        <w:t xml:space="preserve"> Principales causas y número de muertes en México, según grupos de edad. (Enero-junio de 2023</w:t>
      </w:r>
      <w:r w:rsidRPr="007715DC">
        <w:rPr>
          <w:rFonts w:ascii="Noto Sans" w:eastAsia="Times New Roman" w:hAnsi="Noto Sans" w:cs="Noto Sans"/>
          <w:color w:val="000000"/>
          <w:sz w:val="20"/>
          <w:szCs w:val="20"/>
          <w:vertAlign w:val="superscript"/>
        </w:rPr>
        <w:t>p</w:t>
      </w:r>
      <w:r w:rsidRPr="007715DC">
        <w:rPr>
          <w:rFonts w:ascii="Noto Sans" w:eastAsia="Times New Roman" w:hAnsi="Noto Sans" w:cs="Noto Sans"/>
          <w:color w:val="000000"/>
          <w:sz w:val="20"/>
          <w:szCs w:val="20"/>
        </w:rPr>
        <w:t>)</w:t>
      </w:r>
    </w:p>
    <w:tbl>
      <w:tblPr>
        <w:tblW w:w="8828"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000" w:firstRow="0" w:lastRow="0" w:firstColumn="0" w:lastColumn="0" w:noHBand="0" w:noVBand="0"/>
      </w:tblPr>
      <w:tblGrid>
        <w:gridCol w:w="1271"/>
        <w:gridCol w:w="2552"/>
        <w:gridCol w:w="2551"/>
        <w:gridCol w:w="2454"/>
      </w:tblGrid>
      <w:tr w:rsidR="00A2360D" w:rsidRPr="00AA6476" w:rsidTr="00A2360D">
        <w:trPr>
          <w:tblHeader/>
          <w:jc w:val="center"/>
        </w:trPr>
        <w:tc>
          <w:tcPr>
            <w:tcW w:w="1271" w:type="dxa"/>
            <w:shd w:val="clear" w:color="auto" w:fill="9A0003"/>
          </w:tcPr>
          <w:p w:rsidR="00A2360D" w:rsidRPr="00AA6476" w:rsidRDefault="00A2360D" w:rsidP="00A2360D">
            <w:pPr>
              <w:spacing w:line="276" w:lineRule="auto"/>
              <w:ind w:hanging="2"/>
              <w:jc w:val="both"/>
              <w:rPr>
                <w:rFonts w:ascii="Noto Sans" w:eastAsia="Times" w:hAnsi="Noto Sans" w:cs="Noto Sans"/>
                <w:color w:val="FFFFFF" w:themeColor="background1"/>
                <w:sz w:val="16"/>
                <w:szCs w:val="16"/>
              </w:rPr>
            </w:pPr>
          </w:p>
        </w:tc>
        <w:tc>
          <w:tcPr>
            <w:tcW w:w="7557" w:type="dxa"/>
            <w:gridSpan w:val="3"/>
            <w:shd w:val="clear" w:color="auto" w:fill="9A0003"/>
          </w:tcPr>
          <w:p w:rsidR="00A2360D" w:rsidRPr="00AA6476" w:rsidRDefault="00A2360D" w:rsidP="00A2360D">
            <w:pPr>
              <w:spacing w:line="276" w:lineRule="auto"/>
              <w:ind w:hanging="2"/>
              <w:jc w:val="center"/>
              <w:rPr>
                <w:rFonts w:ascii="Noto Sans" w:eastAsia="Times" w:hAnsi="Noto Sans" w:cs="Noto Sans"/>
                <w:color w:val="FFFFFF" w:themeColor="background1"/>
                <w:sz w:val="16"/>
                <w:szCs w:val="16"/>
              </w:rPr>
            </w:pPr>
            <w:r w:rsidRPr="00AA6476">
              <w:rPr>
                <w:rFonts w:ascii="Noto Sans" w:eastAsia="Times" w:hAnsi="Noto Sans" w:cs="Noto Sans"/>
                <w:b/>
                <w:color w:val="FFFFFF" w:themeColor="background1"/>
                <w:sz w:val="16"/>
                <w:szCs w:val="16"/>
              </w:rPr>
              <w:t>Rango</w:t>
            </w:r>
          </w:p>
        </w:tc>
      </w:tr>
      <w:tr w:rsidR="00A2360D" w:rsidRPr="00AA6476" w:rsidTr="00A2360D">
        <w:trPr>
          <w:tblHeader/>
          <w:jc w:val="center"/>
        </w:trPr>
        <w:tc>
          <w:tcPr>
            <w:tcW w:w="1271" w:type="dxa"/>
            <w:shd w:val="clear" w:color="auto" w:fill="9A0003"/>
          </w:tcPr>
          <w:p w:rsidR="00A2360D" w:rsidRPr="00AA6476" w:rsidRDefault="00A2360D" w:rsidP="00A2360D">
            <w:pPr>
              <w:spacing w:line="276" w:lineRule="auto"/>
              <w:ind w:hanging="2"/>
              <w:jc w:val="both"/>
              <w:rPr>
                <w:rFonts w:ascii="Noto Sans" w:eastAsia="Times" w:hAnsi="Noto Sans" w:cs="Noto Sans"/>
                <w:color w:val="FFFFFF" w:themeColor="background1"/>
                <w:sz w:val="16"/>
                <w:szCs w:val="16"/>
              </w:rPr>
            </w:pPr>
            <w:r w:rsidRPr="00AA6476">
              <w:rPr>
                <w:rFonts w:ascii="Noto Sans" w:eastAsia="Times" w:hAnsi="Noto Sans" w:cs="Noto Sans"/>
                <w:b/>
                <w:color w:val="FFFFFF" w:themeColor="background1"/>
                <w:sz w:val="16"/>
                <w:szCs w:val="16"/>
              </w:rPr>
              <w:t>Grupo de edad</w:t>
            </w:r>
          </w:p>
        </w:tc>
        <w:tc>
          <w:tcPr>
            <w:tcW w:w="2552" w:type="dxa"/>
            <w:shd w:val="clear" w:color="auto" w:fill="9A0003"/>
          </w:tcPr>
          <w:p w:rsidR="00A2360D" w:rsidRPr="00AA6476" w:rsidRDefault="00A2360D" w:rsidP="00A2360D">
            <w:pPr>
              <w:spacing w:line="276" w:lineRule="auto"/>
              <w:ind w:hanging="2"/>
              <w:jc w:val="center"/>
              <w:rPr>
                <w:rFonts w:ascii="Noto Sans" w:eastAsia="Times" w:hAnsi="Noto Sans" w:cs="Noto Sans"/>
                <w:color w:val="FFFFFF" w:themeColor="background1"/>
                <w:sz w:val="16"/>
                <w:szCs w:val="16"/>
              </w:rPr>
            </w:pPr>
            <w:r w:rsidRPr="00AA6476">
              <w:rPr>
                <w:rFonts w:ascii="Noto Sans" w:eastAsia="Times" w:hAnsi="Noto Sans" w:cs="Noto Sans"/>
                <w:b/>
                <w:color w:val="FFFFFF" w:themeColor="background1"/>
                <w:sz w:val="16"/>
                <w:szCs w:val="16"/>
              </w:rPr>
              <w:t>1</w:t>
            </w:r>
          </w:p>
        </w:tc>
        <w:tc>
          <w:tcPr>
            <w:tcW w:w="2551" w:type="dxa"/>
            <w:shd w:val="clear" w:color="auto" w:fill="9A0003"/>
          </w:tcPr>
          <w:p w:rsidR="00A2360D" w:rsidRPr="00AA6476" w:rsidRDefault="00A2360D" w:rsidP="00A2360D">
            <w:pPr>
              <w:spacing w:line="276" w:lineRule="auto"/>
              <w:ind w:hanging="2"/>
              <w:jc w:val="center"/>
              <w:rPr>
                <w:rFonts w:ascii="Noto Sans" w:eastAsia="Times" w:hAnsi="Noto Sans" w:cs="Noto Sans"/>
                <w:color w:val="FFFFFF" w:themeColor="background1"/>
                <w:sz w:val="16"/>
                <w:szCs w:val="16"/>
              </w:rPr>
            </w:pPr>
            <w:r w:rsidRPr="00AA6476">
              <w:rPr>
                <w:rFonts w:ascii="Noto Sans" w:eastAsia="Times" w:hAnsi="Noto Sans" w:cs="Noto Sans"/>
                <w:b/>
                <w:color w:val="FFFFFF" w:themeColor="background1"/>
                <w:sz w:val="16"/>
                <w:szCs w:val="16"/>
              </w:rPr>
              <w:t>2</w:t>
            </w:r>
          </w:p>
        </w:tc>
        <w:tc>
          <w:tcPr>
            <w:tcW w:w="2454" w:type="dxa"/>
            <w:shd w:val="clear" w:color="auto" w:fill="9A0003"/>
          </w:tcPr>
          <w:p w:rsidR="00A2360D" w:rsidRPr="00AA6476" w:rsidRDefault="00A2360D" w:rsidP="00A2360D">
            <w:pPr>
              <w:spacing w:line="276" w:lineRule="auto"/>
              <w:ind w:hanging="2"/>
              <w:jc w:val="center"/>
              <w:rPr>
                <w:rFonts w:ascii="Noto Sans" w:eastAsia="Times" w:hAnsi="Noto Sans" w:cs="Noto Sans"/>
                <w:color w:val="FFFFFF" w:themeColor="background1"/>
                <w:sz w:val="16"/>
                <w:szCs w:val="16"/>
              </w:rPr>
            </w:pPr>
            <w:r w:rsidRPr="00AA6476">
              <w:rPr>
                <w:rFonts w:ascii="Noto Sans" w:eastAsia="Times" w:hAnsi="Noto Sans" w:cs="Noto Sans"/>
                <w:b/>
                <w:color w:val="FFFFFF" w:themeColor="background1"/>
                <w:sz w:val="16"/>
                <w:szCs w:val="16"/>
              </w:rPr>
              <w:t>3</w:t>
            </w:r>
          </w:p>
        </w:tc>
      </w:tr>
      <w:tr w:rsidR="00A2360D" w:rsidRPr="00AA6476" w:rsidTr="00A2360D">
        <w:trPr>
          <w:jc w:val="center"/>
        </w:trPr>
        <w:tc>
          <w:tcPr>
            <w:tcW w:w="1271"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color w:val="000000"/>
                <w:sz w:val="16"/>
                <w:szCs w:val="16"/>
              </w:rPr>
            </w:pPr>
            <w:r w:rsidRPr="00AA6476">
              <w:rPr>
                <w:rFonts w:ascii="Noto Sans" w:eastAsia="Times" w:hAnsi="Noto Sans" w:cs="Noto Sans"/>
                <w:b/>
                <w:color w:val="000000"/>
                <w:sz w:val="16"/>
                <w:szCs w:val="16"/>
              </w:rPr>
              <w:t>Menores de 1 año</w:t>
            </w:r>
          </w:p>
        </w:tc>
        <w:tc>
          <w:tcPr>
            <w:tcW w:w="2552"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Ciertas afecciones originadas en el período perinatal</w:t>
            </w:r>
            <w:r w:rsidRPr="00AA6476">
              <w:rPr>
                <w:rFonts w:ascii="Noto Sans" w:eastAsia="Times" w:hAnsi="Noto Sans" w:cs="Noto Sans"/>
                <w:color w:val="000000"/>
                <w:sz w:val="16"/>
                <w:szCs w:val="16"/>
              </w:rPr>
              <w:t xml:space="preserve"> </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3,853 defunciones</w:t>
            </w:r>
          </w:p>
        </w:tc>
        <w:tc>
          <w:tcPr>
            <w:tcW w:w="2551"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Malformaciones congénitas, deformidades y anomalías cromosómicas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1,829 defunciones</w:t>
            </w:r>
          </w:p>
        </w:tc>
        <w:tc>
          <w:tcPr>
            <w:tcW w:w="2454"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Accidentes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268 defunciones</w:t>
            </w:r>
          </w:p>
        </w:tc>
      </w:tr>
      <w:tr w:rsidR="00A2360D" w:rsidRPr="00AA6476" w:rsidTr="00A2360D">
        <w:trPr>
          <w:jc w:val="center"/>
        </w:trPr>
        <w:tc>
          <w:tcPr>
            <w:tcW w:w="1271"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color w:val="000000"/>
                <w:sz w:val="16"/>
                <w:szCs w:val="16"/>
              </w:rPr>
            </w:pPr>
            <w:r w:rsidRPr="00AA6476">
              <w:rPr>
                <w:rFonts w:ascii="Noto Sans" w:eastAsia="Times" w:hAnsi="Noto Sans" w:cs="Noto Sans"/>
                <w:b/>
                <w:color w:val="000000"/>
                <w:sz w:val="16"/>
                <w:szCs w:val="16"/>
              </w:rPr>
              <w:t>1 a 4 años</w:t>
            </w:r>
          </w:p>
        </w:tc>
        <w:tc>
          <w:tcPr>
            <w:tcW w:w="2552"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Malformaciones congénitas, deformidades y anomalías cromosómicas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409 defunciones</w:t>
            </w:r>
          </w:p>
        </w:tc>
        <w:tc>
          <w:tcPr>
            <w:tcW w:w="2551"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Accidentes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342 defunciones</w:t>
            </w:r>
          </w:p>
        </w:tc>
        <w:tc>
          <w:tcPr>
            <w:tcW w:w="2454"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Influenza y neumonía</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167 defunciones</w:t>
            </w:r>
          </w:p>
        </w:tc>
      </w:tr>
      <w:tr w:rsidR="00A2360D" w:rsidRPr="00AA6476" w:rsidTr="00A2360D">
        <w:trPr>
          <w:jc w:val="center"/>
        </w:trPr>
        <w:tc>
          <w:tcPr>
            <w:tcW w:w="1271"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color w:val="000000"/>
                <w:sz w:val="16"/>
                <w:szCs w:val="16"/>
              </w:rPr>
            </w:pPr>
            <w:r w:rsidRPr="00AA6476">
              <w:rPr>
                <w:rFonts w:ascii="Noto Sans" w:eastAsia="Times" w:hAnsi="Noto Sans" w:cs="Noto Sans"/>
                <w:b/>
                <w:color w:val="000000"/>
                <w:sz w:val="16"/>
                <w:szCs w:val="16"/>
              </w:rPr>
              <w:t>5 a 9 años</w:t>
            </w:r>
          </w:p>
        </w:tc>
        <w:tc>
          <w:tcPr>
            <w:tcW w:w="2552"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Accidentes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238 defunciones</w:t>
            </w:r>
          </w:p>
        </w:tc>
        <w:tc>
          <w:tcPr>
            <w:tcW w:w="2551"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Tumores malignos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218 defunciones</w:t>
            </w:r>
          </w:p>
        </w:tc>
        <w:tc>
          <w:tcPr>
            <w:tcW w:w="2454"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Malformaciones congénitas, deformidades y anomalías cromosómicas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155 defunciones</w:t>
            </w:r>
          </w:p>
        </w:tc>
      </w:tr>
      <w:tr w:rsidR="00A2360D" w:rsidRPr="00AA6476" w:rsidTr="00A2360D">
        <w:trPr>
          <w:jc w:val="center"/>
        </w:trPr>
        <w:tc>
          <w:tcPr>
            <w:tcW w:w="1271"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color w:val="000000"/>
                <w:sz w:val="16"/>
                <w:szCs w:val="16"/>
              </w:rPr>
            </w:pPr>
            <w:r w:rsidRPr="00AA6476">
              <w:rPr>
                <w:rFonts w:ascii="Noto Sans" w:eastAsia="Times" w:hAnsi="Noto Sans" w:cs="Noto Sans"/>
                <w:b/>
                <w:color w:val="000000"/>
                <w:sz w:val="16"/>
                <w:szCs w:val="16"/>
              </w:rPr>
              <w:t>10 a 14 años</w:t>
            </w:r>
          </w:p>
        </w:tc>
        <w:tc>
          <w:tcPr>
            <w:tcW w:w="2552"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Accidentes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356 defunciones</w:t>
            </w:r>
          </w:p>
        </w:tc>
        <w:tc>
          <w:tcPr>
            <w:tcW w:w="2551"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Tumores malignos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264 defunciones</w:t>
            </w:r>
          </w:p>
        </w:tc>
        <w:tc>
          <w:tcPr>
            <w:tcW w:w="2454"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Malformaciones congénitas, deformidades y anomalías cromosómicas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131 defunciones</w:t>
            </w:r>
          </w:p>
        </w:tc>
      </w:tr>
      <w:tr w:rsidR="00A2360D" w:rsidRPr="00AA6476" w:rsidTr="00A2360D">
        <w:trPr>
          <w:jc w:val="center"/>
        </w:trPr>
        <w:tc>
          <w:tcPr>
            <w:tcW w:w="1271"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color w:val="000000"/>
                <w:sz w:val="16"/>
                <w:szCs w:val="16"/>
              </w:rPr>
            </w:pPr>
            <w:r w:rsidRPr="00AA6476">
              <w:rPr>
                <w:rFonts w:ascii="Noto Sans" w:eastAsia="Times" w:hAnsi="Noto Sans" w:cs="Noto Sans"/>
                <w:b/>
                <w:color w:val="000000"/>
                <w:sz w:val="16"/>
                <w:szCs w:val="16"/>
              </w:rPr>
              <w:t>15 a 24 años</w:t>
            </w:r>
          </w:p>
        </w:tc>
        <w:tc>
          <w:tcPr>
            <w:tcW w:w="2552"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Accidentes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3,069 defunciones</w:t>
            </w:r>
          </w:p>
        </w:tc>
        <w:tc>
          <w:tcPr>
            <w:tcW w:w="2551"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Agresiones (homicidios)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2,981 defunciones</w:t>
            </w:r>
          </w:p>
        </w:tc>
        <w:tc>
          <w:tcPr>
            <w:tcW w:w="2454"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Lesiones autoinfligidas intencionalmente (suicidios)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1,025 defunciones</w:t>
            </w:r>
          </w:p>
        </w:tc>
      </w:tr>
      <w:tr w:rsidR="00A2360D" w:rsidRPr="00AA6476" w:rsidTr="00A2360D">
        <w:trPr>
          <w:jc w:val="center"/>
        </w:trPr>
        <w:tc>
          <w:tcPr>
            <w:tcW w:w="1271"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color w:val="000000"/>
                <w:sz w:val="16"/>
                <w:szCs w:val="16"/>
              </w:rPr>
            </w:pPr>
            <w:r w:rsidRPr="00AA6476">
              <w:rPr>
                <w:rFonts w:ascii="Noto Sans" w:eastAsia="Times" w:hAnsi="Noto Sans" w:cs="Noto Sans"/>
                <w:b/>
                <w:color w:val="000000"/>
                <w:sz w:val="16"/>
                <w:szCs w:val="16"/>
              </w:rPr>
              <w:t>25 a 34 años</w:t>
            </w:r>
          </w:p>
        </w:tc>
        <w:tc>
          <w:tcPr>
            <w:tcW w:w="2552"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Agresiones (homicidios)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4,167 defunciones</w:t>
            </w:r>
          </w:p>
        </w:tc>
        <w:tc>
          <w:tcPr>
            <w:tcW w:w="2551"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Accidentes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3,348 defunciones</w:t>
            </w:r>
          </w:p>
        </w:tc>
        <w:tc>
          <w:tcPr>
            <w:tcW w:w="2454"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Enfermedades del corazón</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1,382 defunciones</w:t>
            </w:r>
          </w:p>
        </w:tc>
      </w:tr>
      <w:tr w:rsidR="00A2360D" w:rsidRPr="00AA6476" w:rsidTr="00A2360D">
        <w:trPr>
          <w:jc w:val="center"/>
        </w:trPr>
        <w:tc>
          <w:tcPr>
            <w:tcW w:w="1271"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color w:val="000000"/>
                <w:sz w:val="16"/>
                <w:szCs w:val="16"/>
              </w:rPr>
            </w:pPr>
            <w:r w:rsidRPr="00AA6476">
              <w:rPr>
                <w:rFonts w:ascii="Noto Sans" w:eastAsia="Times" w:hAnsi="Noto Sans" w:cs="Noto Sans"/>
                <w:b/>
                <w:color w:val="000000"/>
                <w:sz w:val="16"/>
                <w:szCs w:val="16"/>
              </w:rPr>
              <w:t>35 a 44 años</w:t>
            </w:r>
          </w:p>
        </w:tc>
        <w:tc>
          <w:tcPr>
            <w:tcW w:w="2552"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Agresiones (homicidios)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lastRenderedPageBreak/>
              <w:t>3,377 defunciones</w:t>
            </w:r>
          </w:p>
        </w:tc>
        <w:tc>
          <w:tcPr>
            <w:tcW w:w="2551"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lastRenderedPageBreak/>
              <w:t>Accidentes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lastRenderedPageBreak/>
              <w:t>2,835 defunciones</w:t>
            </w:r>
          </w:p>
        </w:tc>
        <w:tc>
          <w:tcPr>
            <w:tcW w:w="2454"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lastRenderedPageBreak/>
              <w:t>Enfermedades del corazón</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lastRenderedPageBreak/>
              <w:t>2,734 defunciones</w:t>
            </w:r>
          </w:p>
        </w:tc>
      </w:tr>
      <w:tr w:rsidR="00A2360D" w:rsidRPr="00AA6476" w:rsidTr="00A2360D">
        <w:trPr>
          <w:jc w:val="center"/>
        </w:trPr>
        <w:tc>
          <w:tcPr>
            <w:tcW w:w="1271"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color w:val="000000"/>
                <w:sz w:val="16"/>
                <w:szCs w:val="16"/>
              </w:rPr>
            </w:pPr>
            <w:r w:rsidRPr="00AA6476">
              <w:rPr>
                <w:rFonts w:ascii="Noto Sans" w:eastAsia="Times" w:hAnsi="Noto Sans" w:cs="Noto Sans"/>
                <w:b/>
                <w:color w:val="000000"/>
                <w:sz w:val="16"/>
                <w:szCs w:val="16"/>
              </w:rPr>
              <w:lastRenderedPageBreak/>
              <w:t>45 a 54 años</w:t>
            </w:r>
          </w:p>
        </w:tc>
        <w:tc>
          <w:tcPr>
            <w:tcW w:w="2552"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Enfermedades del corazón</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6,092 defunciones</w:t>
            </w:r>
          </w:p>
        </w:tc>
        <w:tc>
          <w:tcPr>
            <w:tcW w:w="2551"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Diabetes mellitus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5,829 defunciones</w:t>
            </w:r>
          </w:p>
        </w:tc>
        <w:tc>
          <w:tcPr>
            <w:tcW w:w="2454"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Tumores malignos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5,661 defunciones</w:t>
            </w:r>
          </w:p>
        </w:tc>
      </w:tr>
      <w:tr w:rsidR="00A2360D" w:rsidRPr="00AA6476" w:rsidTr="00A2360D">
        <w:trPr>
          <w:jc w:val="center"/>
        </w:trPr>
        <w:tc>
          <w:tcPr>
            <w:tcW w:w="1271"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color w:val="000000"/>
                <w:sz w:val="16"/>
                <w:szCs w:val="16"/>
              </w:rPr>
            </w:pPr>
            <w:r w:rsidRPr="00AA6476">
              <w:rPr>
                <w:rFonts w:ascii="Noto Sans" w:eastAsia="Times" w:hAnsi="Noto Sans" w:cs="Noto Sans"/>
                <w:b/>
                <w:color w:val="000000"/>
                <w:sz w:val="16"/>
                <w:szCs w:val="16"/>
              </w:rPr>
              <w:t>55 a 64 años</w:t>
            </w:r>
          </w:p>
        </w:tc>
        <w:tc>
          <w:tcPr>
            <w:tcW w:w="2552"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Diabetes mellitus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11,592 defunciones</w:t>
            </w:r>
          </w:p>
        </w:tc>
        <w:tc>
          <w:tcPr>
            <w:tcW w:w="2551"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Enfermedades del corazón</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11,364 defunciones</w:t>
            </w:r>
          </w:p>
        </w:tc>
        <w:tc>
          <w:tcPr>
            <w:tcW w:w="2454"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Tumores malignos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9,281 defunciones</w:t>
            </w:r>
          </w:p>
        </w:tc>
      </w:tr>
      <w:tr w:rsidR="00A2360D" w:rsidRPr="00AA6476" w:rsidTr="00A2360D">
        <w:trPr>
          <w:jc w:val="center"/>
        </w:trPr>
        <w:tc>
          <w:tcPr>
            <w:tcW w:w="1271"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color w:val="000000"/>
                <w:sz w:val="16"/>
                <w:szCs w:val="16"/>
              </w:rPr>
            </w:pPr>
            <w:r w:rsidRPr="00AA6476">
              <w:rPr>
                <w:rFonts w:ascii="Noto Sans" w:eastAsia="Times" w:hAnsi="Noto Sans" w:cs="Noto Sans"/>
                <w:b/>
                <w:color w:val="000000"/>
                <w:sz w:val="16"/>
                <w:szCs w:val="16"/>
              </w:rPr>
              <w:t>Mayores de 65 años</w:t>
            </w:r>
          </w:p>
        </w:tc>
        <w:tc>
          <w:tcPr>
            <w:tcW w:w="2552"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Enfermedades del corazón</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74,683 defunciones</w:t>
            </w:r>
          </w:p>
        </w:tc>
        <w:tc>
          <w:tcPr>
            <w:tcW w:w="2551"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Diabetes mellitus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36,019 defunciones</w:t>
            </w:r>
          </w:p>
        </w:tc>
        <w:tc>
          <w:tcPr>
            <w:tcW w:w="2454"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Tumores malignos</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25,025 defunciones</w:t>
            </w:r>
          </w:p>
        </w:tc>
      </w:tr>
    </w:tbl>
    <w:p w:rsidR="00A2360D" w:rsidRPr="0047528A" w:rsidRDefault="00A2360D" w:rsidP="00A2360D">
      <w:pPr>
        <w:spacing w:before="120" w:after="120" w:line="276" w:lineRule="auto"/>
        <w:rPr>
          <w:rFonts w:ascii="Noto Sans" w:hAnsi="Noto Sans" w:cs="Noto Sans"/>
          <w:i/>
          <w:sz w:val="16"/>
          <w:szCs w:val="20"/>
        </w:rPr>
      </w:pPr>
      <w:r>
        <w:rPr>
          <w:rFonts w:ascii="Noto Sans" w:eastAsia="Times New Roman" w:hAnsi="Noto Sans" w:cs="Noto Sans"/>
          <w:i/>
          <w:sz w:val="16"/>
          <w:szCs w:val="20"/>
          <w:vertAlign w:val="superscript"/>
        </w:rPr>
        <w:t>p</w:t>
      </w:r>
      <w:r>
        <w:rPr>
          <w:rFonts w:ascii="Noto Sans" w:eastAsia="Times New Roman" w:hAnsi="Noto Sans" w:cs="Noto Sans"/>
          <w:i/>
          <w:sz w:val="16"/>
          <w:szCs w:val="20"/>
        </w:rPr>
        <w:t xml:space="preserve">Información </w:t>
      </w:r>
      <w:r w:rsidRPr="0047528A">
        <w:rPr>
          <w:rFonts w:ascii="Noto Sans" w:eastAsia="Times New Roman" w:hAnsi="Noto Sans" w:cs="Noto Sans"/>
          <w:i/>
          <w:sz w:val="16"/>
          <w:szCs w:val="20"/>
        </w:rPr>
        <w:t xml:space="preserve">preliminar. </w:t>
      </w:r>
      <w:r w:rsidRPr="0047528A">
        <w:rPr>
          <w:rFonts w:ascii="Noto Sans" w:eastAsia="Times New Roman" w:hAnsi="Noto Sans" w:cs="Noto Sans"/>
          <w:i/>
          <w:sz w:val="16"/>
          <w:szCs w:val="20"/>
        </w:rPr>
        <w:br/>
        <w:t>Fuente: Adaptado de INEGI, EDR, enero-septiembre de 2023</w:t>
      </w:r>
      <w:r w:rsidRPr="0047528A">
        <w:rPr>
          <w:rFonts w:ascii="Noto Sans" w:eastAsia="Times New Roman" w:hAnsi="Noto Sans" w:cs="Noto Sans"/>
          <w:i/>
          <w:sz w:val="16"/>
          <w:szCs w:val="20"/>
          <w:vertAlign w:val="superscript"/>
        </w:rPr>
        <w:t>P</w:t>
      </w:r>
    </w:p>
    <w:p w:rsidR="00A2360D" w:rsidRPr="007715DC" w:rsidRDefault="00A2360D" w:rsidP="00A2360D">
      <w:pPr>
        <w:spacing w:before="120" w:after="120" w:line="276" w:lineRule="auto"/>
        <w:jc w:val="both"/>
        <w:rPr>
          <w:rFonts w:ascii="Noto Sans" w:hAnsi="Noto Sans" w:cs="Noto Sans"/>
          <w:sz w:val="20"/>
          <w:szCs w:val="20"/>
        </w:rPr>
      </w:pPr>
      <w:r w:rsidRPr="007715DC">
        <w:rPr>
          <w:rFonts w:ascii="Noto Sans" w:hAnsi="Noto Sans" w:cs="Noto Sans"/>
          <w:sz w:val="20"/>
          <w:szCs w:val="20"/>
        </w:rPr>
        <w:t xml:space="preserve">Al analizar las principales causas de egresos hospitalarios en los INS durante 2021 a 2023, se observó que algunas de las causas de muerte previamente identificadas a nivel nacional, también representaron las principales causas de hospitalización, entre ellas: cardiopatías, tumores malignos y malformaciones congénitas (Tabla 5). </w:t>
      </w:r>
    </w:p>
    <w:p w:rsidR="00A2360D" w:rsidRPr="007715DC" w:rsidRDefault="00A2360D" w:rsidP="00A2360D">
      <w:pPr>
        <w:spacing w:before="120" w:after="120" w:line="276" w:lineRule="auto"/>
        <w:jc w:val="both"/>
        <w:rPr>
          <w:rFonts w:ascii="Noto Sans" w:hAnsi="Noto Sans" w:cs="Noto Sans"/>
          <w:sz w:val="20"/>
          <w:szCs w:val="20"/>
        </w:rPr>
      </w:pPr>
    </w:p>
    <w:p w:rsidR="00A2360D" w:rsidRPr="007715DC" w:rsidRDefault="00A2360D" w:rsidP="00A2360D">
      <w:pPr>
        <w:spacing w:line="360" w:lineRule="auto"/>
        <w:ind w:hanging="2"/>
        <w:jc w:val="both"/>
        <w:rPr>
          <w:rFonts w:ascii="Noto Sans" w:eastAsia="Times New Roman" w:hAnsi="Noto Sans" w:cs="Noto Sans"/>
          <w:color w:val="000000"/>
          <w:sz w:val="20"/>
          <w:szCs w:val="20"/>
        </w:rPr>
      </w:pPr>
      <w:r w:rsidRPr="007715DC">
        <w:rPr>
          <w:rFonts w:ascii="Noto Sans" w:eastAsia="Times New Roman" w:hAnsi="Noto Sans" w:cs="Noto Sans"/>
          <w:b/>
          <w:color w:val="000000"/>
          <w:sz w:val="20"/>
          <w:szCs w:val="20"/>
        </w:rPr>
        <w:t>Tabla 5.</w:t>
      </w:r>
      <w:r w:rsidRPr="007715DC">
        <w:rPr>
          <w:rFonts w:ascii="Noto Sans" w:eastAsia="Times New Roman" w:hAnsi="Noto Sans" w:cs="Noto Sans"/>
          <w:color w:val="000000"/>
          <w:sz w:val="20"/>
          <w:szCs w:val="20"/>
        </w:rPr>
        <w:t xml:space="preserve"> Principales causas de egresos hospitalarios en INS 2021-2023</w:t>
      </w:r>
    </w:p>
    <w:tbl>
      <w:tblPr>
        <w:tblW w:w="8828"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000" w:firstRow="0" w:lastRow="0" w:firstColumn="0" w:lastColumn="0" w:noHBand="0" w:noVBand="0"/>
      </w:tblPr>
      <w:tblGrid>
        <w:gridCol w:w="1129"/>
        <w:gridCol w:w="2410"/>
        <w:gridCol w:w="2693"/>
        <w:gridCol w:w="2596"/>
      </w:tblGrid>
      <w:tr w:rsidR="00A2360D" w:rsidRPr="00AA6476" w:rsidTr="00A2360D">
        <w:trPr>
          <w:tblHeader/>
        </w:trPr>
        <w:tc>
          <w:tcPr>
            <w:tcW w:w="1129" w:type="dxa"/>
            <w:shd w:val="clear" w:color="auto" w:fill="9A0003"/>
          </w:tcPr>
          <w:p w:rsidR="00A2360D" w:rsidRPr="00AA6476" w:rsidRDefault="00A2360D" w:rsidP="00A2360D">
            <w:pPr>
              <w:spacing w:line="276" w:lineRule="auto"/>
              <w:ind w:hanging="2"/>
              <w:jc w:val="center"/>
              <w:rPr>
                <w:rFonts w:ascii="Noto Sans" w:eastAsia="Times" w:hAnsi="Noto Sans" w:cs="Noto Sans"/>
                <w:color w:val="FFFFFF" w:themeColor="background1"/>
                <w:sz w:val="16"/>
                <w:szCs w:val="16"/>
              </w:rPr>
            </w:pPr>
            <w:r w:rsidRPr="00AA6476">
              <w:rPr>
                <w:rFonts w:ascii="Noto Sans" w:eastAsia="Times" w:hAnsi="Noto Sans" w:cs="Noto Sans"/>
                <w:b/>
                <w:color w:val="FFFFFF" w:themeColor="background1"/>
                <w:sz w:val="16"/>
                <w:szCs w:val="16"/>
              </w:rPr>
              <w:t>Rango</w:t>
            </w:r>
          </w:p>
        </w:tc>
        <w:tc>
          <w:tcPr>
            <w:tcW w:w="2410" w:type="dxa"/>
            <w:shd w:val="clear" w:color="auto" w:fill="9A0003"/>
          </w:tcPr>
          <w:p w:rsidR="00A2360D" w:rsidRPr="00AA6476" w:rsidRDefault="00A2360D" w:rsidP="00A2360D">
            <w:pPr>
              <w:spacing w:line="276" w:lineRule="auto"/>
              <w:ind w:hanging="2"/>
              <w:jc w:val="center"/>
              <w:rPr>
                <w:rFonts w:ascii="Noto Sans" w:eastAsia="Times" w:hAnsi="Noto Sans" w:cs="Noto Sans"/>
                <w:color w:val="FFFFFF" w:themeColor="background1"/>
                <w:sz w:val="16"/>
                <w:szCs w:val="16"/>
              </w:rPr>
            </w:pPr>
            <w:r w:rsidRPr="00AA6476">
              <w:rPr>
                <w:rFonts w:ascii="Noto Sans" w:eastAsia="Times" w:hAnsi="Noto Sans" w:cs="Noto Sans"/>
                <w:b/>
                <w:color w:val="FFFFFF" w:themeColor="background1"/>
                <w:sz w:val="16"/>
                <w:szCs w:val="16"/>
              </w:rPr>
              <w:t>2021</w:t>
            </w:r>
            <w:r w:rsidRPr="00AA6476">
              <w:rPr>
                <w:rFonts w:ascii="Noto Sans" w:eastAsia="Times" w:hAnsi="Noto Sans" w:cs="Noto Sans"/>
                <w:b/>
                <w:color w:val="FFFFFF" w:themeColor="background1"/>
                <w:sz w:val="16"/>
                <w:szCs w:val="16"/>
                <w:vertAlign w:val="superscript"/>
              </w:rPr>
              <w:t>1</w:t>
            </w:r>
            <w:r w:rsidRPr="00AA6476">
              <w:rPr>
                <w:rFonts w:ascii="Noto Sans" w:eastAsia="Times" w:hAnsi="Noto Sans" w:cs="Noto Sans"/>
                <w:b/>
                <w:color w:val="FFFFFF" w:themeColor="background1"/>
                <w:sz w:val="16"/>
                <w:szCs w:val="16"/>
              </w:rPr>
              <w:t xml:space="preserve"> (n)</w:t>
            </w:r>
          </w:p>
        </w:tc>
        <w:tc>
          <w:tcPr>
            <w:tcW w:w="2693" w:type="dxa"/>
            <w:shd w:val="clear" w:color="auto" w:fill="9A0003"/>
          </w:tcPr>
          <w:p w:rsidR="00A2360D" w:rsidRPr="00AA6476" w:rsidRDefault="00A2360D" w:rsidP="00A2360D">
            <w:pPr>
              <w:spacing w:line="276" w:lineRule="auto"/>
              <w:ind w:hanging="2"/>
              <w:jc w:val="center"/>
              <w:rPr>
                <w:rFonts w:ascii="Noto Sans" w:eastAsia="Times" w:hAnsi="Noto Sans" w:cs="Noto Sans"/>
                <w:color w:val="FFFFFF" w:themeColor="background1"/>
                <w:sz w:val="16"/>
                <w:szCs w:val="16"/>
                <w:vertAlign w:val="superscript"/>
              </w:rPr>
            </w:pPr>
            <w:r w:rsidRPr="00AA6476">
              <w:rPr>
                <w:rFonts w:ascii="Noto Sans" w:eastAsia="Times" w:hAnsi="Noto Sans" w:cs="Noto Sans"/>
                <w:b/>
                <w:color w:val="FFFFFF" w:themeColor="background1"/>
                <w:sz w:val="16"/>
                <w:szCs w:val="16"/>
              </w:rPr>
              <w:t>2022</w:t>
            </w:r>
            <w:r w:rsidRPr="00AA6476">
              <w:rPr>
                <w:rFonts w:ascii="Noto Sans" w:eastAsia="Times" w:hAnsi="Noto Sans" w:cs="Noto Sans"/>
                <w:b/>
                <w:color w:val="FFFFFF" w:themeColor="background1"/>
                <w:sz w:val="16"/>
                <w:szCs w:val="16"/>
                <w:vertAlign w:val="superscript"/>
              </w:rPr>
              <w:t xml:space="preserve">2 </w:t>
            </w:r>
            <w:r w:rsidRPr="00AA6476">
              <w:rPr>
                <w:rFonts w:ascii="Noto Sans" w:eastAsia="Times" w:hAnsi="Noto Sans" w:cs="Noto Sans"/>
                <w:b/>
                <w:color w:val="FFFFFF" w:themeColor="background1"/>
                <w:sz w:val="16"/>
                <w:szCs w:val="16"/>
              </w:rPr>
              <w:t>(n)</w:t>
            </w:r>
          </w:p>
        </w:tc>
        <w:tc>
          <w:tcPr>
            <w:tcW w:w="2596" w:type="dxa"/>
            <w:shd w:val="clear" w:color="auto" w:fill="9A0003"/>
          </w:tcPr>
          <w:p w:rsidR="00A2360D" w:rsidRPr="00AA6476" w:rsidRDefault="00A2360D" w:rsidP="00A2360D">
            <w:pPr>
              <w:spacing w:line="276" w:lineRule="auto"/>
              <w:ind w:hanging="2"/>
              <w:jc w:val="center"/>
              <w:rPr>
                <w:rFonts w:ascii="Noto Sans" w:eastAsia="Times" w:hAnsi="Noto Sans" w:cs="Noto Sans"/>
                <w:color w:val="FFFFFF" w:themeColor="background1"/>
                <w:sz w:val="16"/>
                <w:szCs w:val="16"/>
                <w:vertAlign w:val="superscript"/>
              </w:rPr>
            </w:pPr>
            <w:r w:rsidRPr="00AA6476">
              <w:rPr>
                <w:rFonts w:ascii="Noto Sans" w:eastAsia="Times" w:hAnsi="Noto Sans" w:cs="Noto Sans"/>
                <w:b/>
                <w:color w:val="FFFFFF" w:themeColor="background1"/>
                <w:sz w:val="16"/>
                <w:szCs w:val="16"/>
              </w:rPr>
              <w:t>2023</w:t>
            </w:r>
            <w:r w:rsidRPr="00AA6476">
              <w:rPr>
                <w:rFonts w:ascii="Noto Sans" w:eastAsia="Times" w:hAnsi="Noto Sans" w:cs="Noto Sans"/>
                <w:b/>
                <w:color w:val="FFFFFF" w:themeColor="background1"/>
                <w:sz w:val="16"/>
                <w:szCs w:val="16"/>
                <w:vertAlign w:val="superscript"/>
              </w:rPr>
              <w:t>3</w:t>
            </w:r>
            <w:r w:rsidRPr="00AA6476">
              <w:rPr>
                <w:rFonts w:ascii="Noto Sans" w:eastAsia="Times" w:hAnsi="Noto Sans" w:cs="Noto Sans"/>
                <w:b/>
                <w:color w:val="FFFFFF" w:themeColor="background1"/>
                <w:sz w:val="16"/>
                <w:szCs w:val="16"/>
              </w:rPr>
              <w:t xml:space="preserve"> (n)</w:t>
            </w:r>
          </w:p>
        </w:tc>
      </w:tr>
      <w:tr w:rsidR="00A2360D" w:rsidRPr="00AA6476" w:rsidTr="00A2360D">
        <w:tc>
          <w:tcPr>
            <w:tcW w:w="1129"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1</w:t>
            </w:r>
          </w:p>
        </w:tc>
        <w:tc>
          <w:tcPr>
            <w:tcW w:w="2410" w:type="dxa"/>
          </w:tcPr>
          <w:p w:rsidR="00A2360D" w:rsidRPr="00AA6476" w:rsidRDefault="00A2360D" w:rsidP="00A2360D">
            <w:pPr>
              <w:spacing w:line="276" w:lineRule="auto"/>
              <w:ind w:hanging="2"/>
              <w:jc w:val="center"/>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Uso emergente de U07</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(4,064)</w:t>
            </w:r>
          </w:p>
        </w:tc>
        <w:tc>
          <w:tcPr>
            <w:tcW w:w="2693"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Parto único por cesárea</w:t>
            </w:r>
            <w:r w:rsidRPr="00AA6476">
              <w:rPr>
                <w:rFonts w:ascii="Noto Sans" w:eastAsia="Times" w:hAnsi="Noto Sans" w:cs="Noto Sans"/>
                <w:color w:val="000000"/>
                <w:sz w:val="16"/>
                <w:szCs w:val="16"/>
              </w:rPr>
              <w:t xml:space="preserve"> (1,234)</w:t>
            </w:r>
          </w:p>
        </w:tc>
        <w:tc>
          <w:tcPr>
            <w:tcW w:w="2596"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Infarto agudo al miocardio</w:t>
            </w:r>
            <w:r w:rsidRPr="00AA6476">
              <w:rPr>
                <w:rFonts w:ascii="Noto Sans" w:eastAsia="Times" w:hAnsi="Noto Sans" w:cs="Noto Sans"/>
                <w:color w:val="000000"/>
                <w:sz w:val="16"/>
                <w:szCs w:val="16"/>
              </w:rPr>
              <w:t xml:space="preserve"> (1,220)</w:t>
            </w:r>
          </w:p>
        </w:tc>
      </w:tr>
      <w:tr w:rsidR="00A2360D" w:rsidRPr="00AA6476" w:rsidTr="00A2360D">
        <w:tc>
          <w:tcPr>
            <w:tcW w:w="1129"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2</w:t>
            </w:r>
          </w:p>
        </w:tc>
        <w:tc>
          <w:tcPr>
            <w:tcW w:w="2410"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Leucemia linfoide</w:t>
            </w:r>
            <w:r w:rsidRPr="00AA6476">
              <w:rPr>
                <w:rFonts w:ascii="Noto Sans" w:eastAsia="Times" w:hAnsi="Noto Sans" w:cs="Noto Sans"/>
                <w:color w:val="000000"/>
                <w:sz w:val="16"/>
                <w:szCs w:val="16"/>
              </w:rPr>
              <w:t xml:space="preserve"> (1,503)</w:t>
            </w:r>
          </w:p>
        </w:tc>
        <w:tc>
          <w:tcPr>
            <w:tcW w:w="2693"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Infarto agudo al miocardio</w:t>
            </w:r>
            <w:r w:rsidRPr="00AA6476">
              <w:rPr>
                <w:rFonts w:ascii="Noto Sans" w:eastAsia="Times" w:hAnsi="Noto Sans" w:cs="Noto Sans"/>
                <w:color w:val="000000"/>
                <w:sz w:val="16"/>
                <w:szCs w:val="16"/>
              </w:rPr>
              <w:t xml:space="preserve"> (1,180)</w:t>
            </w:r>
          </w:p>
        </w:tc>
        <w:tc>
          <w:tcPr>
            <w:tcW w:w="2596"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Parto único por cesárea</w:t>
            </w:r>
            <w:r w:rsidRPr="00AA6476">
              <w:rPr>
                <w:rFonts w:ascii="Noto Sans" w:eastAsia="Times" w:hAnsi="Noto Sans" w:cs="Noto Sans"/>
                <w:color w:val="000000"/>
                <w:sz w:val="16"/>
                <w:szCs w:val="16"/>
              </w:rPr>
              <w:t xml:space="preserve"> (1,155)</w:t>
            </w:r>
          </w:p>
        </w:tc>
      </w:tr>
      <w:tr w:rsidR="00A2360D" w:rsidRPr="00AA6476" w:rsidTr="00A2360D">
        <w:tc>
          <w:tcPr>
            <w:tcW w:w="1129"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3</w:t>
            </w:r>
          </w:p>
        </w:tc>
        <w:tc>
          <w:tcPr>
            <w:tcW w:w="2410"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Nacidos vivos según lugar de nacimiento</w:t>
            </w:r>
            <w:r w:rsidRPr="00AA6476">
              <w:rPr>
                <w:rFonts w:ascii="Noto Sans" w:eastAsia="Times" w:hAnsi="Noto Sans" w:cs="Noto Sans"/>
                <w:color w:val="000000"/>
                <w:sz w:val="16"/>
                <w:szCs w:val="16"/>
              </w:rPr>
              <w:t xml:space="preserve"> (1,459)</w:t>
            </w:r>
          </w:p>
        </w:tc>
        <w:tc>
          <w:tcPr>
            <w:tcW w:w="2693"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Tumor maligno del testículo</w:t>
            </w:r>
            <w:r w:rsidRPr="00AA6476">
              <w:rPr>
                <w:rFonts w:ascii="Noto Sans" w:eastAsia="Times" w:hAnsi="Noto Sans" w:cs="Noto Sans"/>
                <w:color w:val="000000"/>
                <w:sz w:val="16"/>
                <w:szCs w:val="16"/>
              </w:rPr>
              <w:t xml:space="preserve"> (1,070)</w:t>
            </w:r>
          </w:p>
        </w:tc>
        <w:tc>
          <w:tcPr>
            <w:tcW w:w="2596"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Feto y recién nacido afectado por condiciones de la madre no necesariamente relacionadas con el embarazo presente</w:t>
            </w:r>
            <w:r w:rsidRPr="00AA6476">
              <w:rPr>
                <w:rFonts w:ascii="Noto Sans" w:eastAsia="Times" w:hAnsi="Noto Sans" w:cs="Noto Sans"/>
                <w:color w:val="000000"/>
                <w:sz w:val="16"/>
                <w:szCs w:val="16"/>
              </w:rPr>
              <w:t xml:space="preserve"> (926)</w:t>
            </w:r>
          </w:p>
        </w:tc>
      </w:tr>
      <w:tr w:rsidR="00A2360D" w:rsidRPr="00AA6476" w:rsidTr="00A2360D">
        <w:tc>
          <w:tcPr>
            <w:tcW w:w="1129"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4</w:t>
            </w:r>
          </w:p>
        </w:tc>
        <w:tc>
          <w:tcPr>
            <w:tcW w:w="2410"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Infarto agudo al miocardio</w:t>
            </w:r>
            <w:r w:rsidRPr="00AA6476">
              <w:rPr>
                <w:rFonts w:ascii="Noto Sans" w:eastAsia="Times" w:hAnsi="Noto Sans" w:cs="Noto Sans"/>
                <w:color w:val="000000"/>
                <w:sz w:val="16"/>
                <w:szCs w:val="16"/>
              </w:rPr>
              <w:t xml:space="preserve"> (1,020)</w:t>
            </w:r>
          </w:p>
        </w:tc>
        <w:tc>
          <w:tcPr>
            <w:tcW w:w="2693" w:type="dxa"/>
          </w:tcPr>
          <w:p w:rsidR="00A2360D" w:rsidRPr="00AA6476" w:rsidRDefault="00217656" w:rsidP="00A2360D">
            <w:pPr>
              <w:spacing w:line="276" w:lineRule="auto"/>
              <w:ind w:hanging="2"/>
              <w:jc w:val="center"/>
              <w:rPr>
                <w:rFonts w:ascii="Noto Sans" w:eastAsia="Times" w:hAnsi="Noto Sans" w:cs="Noto Sans"/>
                <w:b/>
                <w:bCs/>
                <w:color w:val="000000"/>
                <w:sz w:val="16"/>
                <w:szCs w:val="16"/>
              </w:rPr>
            </w:pPr>
            <w:sdt>
              <w:sdtPr>
                <w:rPr>
                  <w:rFonts w:ascii="Noto Sans" w:hAnsi="Noto Sans" w:cs="Noto Sans"/>
                  <w:sz w:val="16"/>
                  <w:szCs w:val="16"/>
                </w:rPr>
                <w:tag w:val="goog_rdk_123"/>
                <w:id w:val="786006559"/>
              </w:sdtPr>
              <w:sdtEndPr/>
              <w:sdtContent/>
            </w:sdt>
            <w:r w:rsidR="00A2360D" w:rsidRPr="00AA6476">
              <w:rPr>
                <w:rFonts w:ascii="Noto Sans" w:eastAsia="Times" w:hAnsi="Noto Sans" w:cs="Noto Sans"/>
                <w:b/>
                <w:bCs/>
                <w:color w:val="000000"/>
                <w:sz w:val="16"/>
                <w:szCs w:val="16"/>
              </w:rPr>
              <w:t>Uso emergente de U07</w:t>
            </w:r>
          </w:p>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color w:val="000000"/>
                <w:sz w:val="16"/>
                <w:szCs w:val="16"/>
              </w:rPr>
              <w:t>(936)</w:t>
            </w:r>
          </w:p>
        </w:tc>
        <w:tc>
          <w:tcPr>
            <w:tcW w:w="2596"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Malformaciones congénitas de los tabiques cardíacos</w:t>
            </w:r>
            <w:r w:rsidRPr="00AA6476">
              <w:rPr>
                <w:rFonts w:ascii="Noto Sans" w:eastAsia="Times" w:hAnsi="Noto Sans" w:cs="Noto Sans"/>
                <w:color w:val="000000"/>
                <w:sz w:val="16"/>
                <w:szCs w:val="16"/>
              </w:rPr>
              <w:t xml:space="preserve"> (578)</w:t>
            </w:r>
          </w:p>
        </w:tc>
      </w:tr>
      <w:tr w:rsidR="00A2360D" w:rsidRPr="00AA6476" w:rsidTr="00A2360D">
        <w:tc>
          <w:tcPr>
            <w:tcW w:w="1129"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5</w:t>
            </w:r>
          </w:p>
        </w:tc>
        <w:tc>
          <w:tcPr>
            <w:tcW w:w="2410"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Supervisión de embarazo de alto riesgo</w:t>
            </w:r>
            <w:r w:rsidRPr="00AA6476">
              <w:rPr>
                <w:rFonts w:ascii="Noto Sans" w:eastAsia="Times" w:hAnsi="Noto Sans" w:cs="Noto Sans"/>
                <w:color w:val="000000"/>
                <w:sz w:val="16"/>
                <w:szCs w:val="16"/>
              </w:rPr>
              <w:t xml:space="preserve"> (842)</w:t>
            </w:r>
          </w:p>
        </w:tc>
        <w:tc>
          <w:tcPr>
            <w:tcW w:w="2693"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Leucemia linfoide</w:t>
            </w:r>
            <w:r w:rsidRPr="00AA6476">
              <w:rPr>
                <w:rFonts w:ascii="Noto Sans" w:eastAsia="Times" w:hAnsi="Noto Sans" w:cs="Noto Sans"/>
                <w:color w:val="000000"/>
                <w:sz w:val="16"/>
                <w:szCs w:val="16"/>
              </w:rPr>
              <w:t xml:space="preserve"> (773)</w:t>
            </w:r>
          </w:p>
        </w:tc>
        <w:tc>
          <w:tcPr>
            <w:tcW w:w="2596"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Neumonía viral, no clasificada en otra parte</w:t>
            </w:r>
            <w:r w:rsidRPr="00AA6476">
              <w:rPr>
                <w:rFonts w:ascii="Noto Sans" w:eastAsia="Times" w:hAnsi="Noto Sans" w:cs="Noto Sans"/>
                <w:color w:val="000000"/>
                <w:sz w:val="16"/>
                <w:szCs w:val="16"/>
              </w:rPr>
              <w:t xml:space="preserve"> (454)</w:t>
            </w:r>
          </w:p>
        </w:tc>
      </w:tr>
      <w:tr w:rsidR="00A2360D" w:rsidRPr="00AA6476" w:rsidTr="00A2360D">
        <w:tc>
          <w:tcPr>
            <w:tcW w:w="1129"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6</w:t>
            </w:r>
          </w:p>
        </w:tc>
        <w:tc>
          <w:tcPr>
            <w:tcW w:w="2410"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Examen y prueba de embarazo</w:t>
            </w:r>
            <w:r w:rsidRPr="00AA6476">
              <w:rPr>
                <w:rFonts w:ascii="Noto Sans" w:eastAsia="Times" w:hAnsi="Noto Sans" w:cs="Noto Sans"/>
                <w:color w:val="000000"/>
                <w:sz w:val="16"/>
                <w:szCs w:val="16"/>
              </w:rPr>
              <w:t xml:space="preserve"> (811)</w:t>
            </w:r>
          </w:p>
        </w:tc>
        <w:tc>
          <w:tcPr>
            <w:tcW w:w="2693"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Tumor maligno de la mama</w:t>
            </w:r>
            <w:r w:rsidRPr="00AA6476">
              <w:rPr>
                <w:rFonts w:ascii="Noto Sans" w:eastAsia="Times" w:hAnsi="Noto Sans" w:cs="Noto Sans"/>
                <w:color w:val="000000"/>
                <w:sz w:val="16"/>
                <w:szCs w:val="16"/>
              </w:rPr>
              <w:t xml:space="preserve"> (701)</w:t>
            </w:r>
          </w:p>
        </w:tc>
        <w:tc>
          <w:tcPr>
            <w:tcW w:w="2596"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Leucemia linfoide</w:t>
            </w:r>
            <w:r w:rsidRPr="00AA6476">
              <w:rPr>
                <w:rFonts w:ascii="Noto Sans" w:eastAsia="Times" w:hAnsi="Noto Sans" w:cs="Noto Sans"/>
                <w:color w:val="000000"/>
                <w:sz w:val="16"/>
                <w:szCs w:val="16"/>
              </w:rPr>
              <w:t xml:space="preserve"> (433)</w:t>
            </w:r>
          </w:p>
        </w:tc>
      </w:tr>
      <w:tr w:rsidR="00A2360D" w:rsidRPr="00AA6476" w:rsidTr="00A2360D">
        <w:tc>
          <w:tcPr>
            <w:tcW w:w="1129"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7</w:t>
            </w:r>
          </w:p>
        </w:tc>
        <w:tc>
          <w:tcPr>
            <w:tcW w:w="2410"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Tumor maligno de la mama</w:t>
            </w:r>
            <w:r w:rsidRPr="00AA6476">
              <w:rPr>
                <w:rFonts w:ascii="Noto Sans" w:eastAsia="Times" w:hAnsi="Noto Sans" w:cs="Noto Sans"/>
                <w:color w:val="000000"/>
                <w:sz w:val="16"/>
                <w:szCs w:val="16"/>
              </w:rPr>
              <w:t xml:space="preserve"> (592)</w:t>
            </w:r>
          </w:p>
        </w:tc>
        <w:tc>
          <w:tcPr>
            <w:tcW w:w="2693"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Feto y recién nacido afectado</w:t>
            </w:r>
            <w:sdt>
              <w:sdtPr>
                <w:rPr>
                  <w:rFonts w:ascii="Noto Sans" w:hAnsi="Noto Sans" w:cs="Noto Sans"/>
                  <w:b/>
                  <w:bCs/>
                  <w:sz w:val="16"/>
                  <w:szCs w:val="16"/>
                </w:rPr>
                <w:tag w:val="goog_rdk_124"/>
                <w:id w:val="-1306697883"/>
              </w:sdtPr>
              <w:sdtEndPr/>
              <w:sdtContent>
                <w:r w:rsidRPr="00AA6476">
                  <w:rPr>
                    <w:rFonts w:ascii="Noto Sans" w:eastAsia="Times" w:hAnsi="Noto Sans" w:cs="Noto Sans"/>
                    <w:b/>
                    <w:bCs/>
                    <w:color w:val="000000"/>
                    <w:sz w:val="16"/>
                    <w:szCs w:val="16"/>
                  </w:rPr>
                  <w:t>s</w:t>
                </w:r>
              </w:sdtContent>
            </w:sdt>
            <w:r w:rsidRPr="00AA6476">
              <w:rPr>
                <w:rFonts w:ascii="Noto Sans" w:eastAsia="Times" w:hAnsi="Noto Sans" w:cs="Noto Sans"/>
                <w:b/>
                <w:bCs/>
                <w:color w:val="000000"/>
                <w:sz w:val="16"/>
                <w:szCs w:val="16"/>
              </w:rPr>
              <w:t xml:space="preserve"> por condiciones de la madre no necesariamente relacionadas con el embarazo presente</w:t>
            </w:r>
            <w:r w:rsidRPr="00AA6476">
              <w:rPr>
                <w:rFonts w:ascii="Noto Sans" w:eastAsia="Times" w:hAnsi="Noto Sans" w:cs="Noto Sans"/>
                <w:color w:val="000000"/>
                <w:sz w:val="16"/>
                <w:szCs w:val="16"/>
              </w:rPr>
              <w:t xml:space="preserve"> (672)</w:t>
            </w:r>
          </w:p>
        </w:tc>
        <w:tc>
          <w:tcPr>
            <w:tcW w:w="2596"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Leiomioma del útero</w:t>
            </w:r>
            <w:r w:rsidRPr="00AA6476">
              <w:rPr>
                <w:rFonts w:ascii="Noto Sans" w:eastAsia="Times" w:hAnsi="Noto Sans" w:cs="Noto Sans"/>
                <w:color w:val="000000"/>
                <w:sz w:val="16"/>
                <w:szCs w:val="16"/>
              </w:rPr>
              <w:t xml:space="preserve"> (391)</w:t>
            </w:r>
          </w:p>
        </w:tc>
      </w:tr>
      <w:tr w:rsidR="00A2360D" w:rsidRPr="00AA6476" w:rsidTr="00A2360D">
        <w:tc>
          <w:tcPr>
            <w:tcW w:w="1129"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8</w:t>
            </w:r>
          </w:p>
        </w:tc>
        <w:tc>
          <w:tcPr>
            <w:tcW w:w="2410"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 xml:space="preserve">Tumor </w:t>
            </w:r>
            <w:sdt>
              <w:sdtPr>
                <w:rPr>
                  <w:rFonts w:ascii="Noto Sans" w:hAnsi="Noto Sans" w:cs="Noto Sans"/>
                  <w:b/>
                  <w:bCs/>
                  <w:sz w:val="16"/>
                  <w:szCs w:val="16"/>
                </w:rPr>
                <w:tag w:val="goog_rdk_125"/>
                <w:id w:val="803898665"/>
              </w:sdtPr>
              <w:sdtEndPr/>
              <w:sdtContent>
                <w:r w:rsidRPr="00AA6476">
                  <w:rPr>
                    <w:rFonts w:ascii="Noto Sans" w:eastAsia="Times" w:hAnsi="Noto Sans" w:cs="Noto Sans"/>
                    <w:b/>
                    <w:bCs/>
                    <w:color w:val="000000"/>
                    <w:sz w:val="16"/>
                    <w:szCs w:val="16"/>
                  </w:rPr>
                  <w:t>maligno</w:t>
                </w:r>
              </w:sdtContent>
            </w:sdt>
            <w:r w:rsidRPr="00AA6476">
              <w:rPr>
                <w:rFonts w:ascii="Noto Sans" w:eastAsia="Times" w:hAnsi="Noto Sans" w:cs="Noto Sans"/>
                <w:b/>
                <w:bCs/>
                <w:color w:val="000000"/>
                <w:sz w:val="16"/>
                <w:szCs w:val="16"/>
              </w:rPr>
              <w:t xml:space="preserve"> del testículo</w:t>
            </w:r>
            <w:r w:rsidRPr="00AA6476">
              <w:rPr>
                <w:rFonts w:ascii="Noto Sans" w:eastAsia="Times" w:hAnsi="Noto Sans" w:cs="Noto Sans"/>
                <w:color w:val="000000"/>
                <w:sz w:val="16"/>
                <w:szCs w:val="16"/>
              </w:rPr>
              <w:t xml:space="preserve"> (517)</w:t>
            </w:r>
          </w:p>
        </w:tc>
        <w:tc>
          <w:tcPr>
            <w:tcW w:w="2693"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Neumonía, organismo no especificado</w:t>
            </w:r>
            <w:r w:rsidRPr="00AA6476">
              <w:rPr>
                <w:rFonts w:ascii="Noto Sans" w:eastAsia="Times" w:hAnsi="Noto Sans" w:cs="Noto Sans"/>
                <w:color w:val="000000"/>
                <w:sz w:val="16"/>
                <w:szCs w:val="16"/>
              </w:rPr>
              <w:t xml:space="preserve"> (569)</w:t>
            </w:r>
          </w:p>
        </w:tc>
        <w:tc>
          <w:tcPr>
            <w:tcW w:w="2596"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Otras enfermedades cardiopulmonares</w:t>
            </w:r>
            <w:r w:rsidRPr="00AA6476">
              <w:rPr>
                <w:rFonts w:ascii="Noto Sans" w:eastAsia="Times" w:hAnsi="Noto Sans" w:cs="Noto Sans"/>
                <w:color w:val="000000"/>
                <w:sz w:val="16"/>
                <w:szCs w:val="16"/>
              </w:rPr>
              <w:t xml:space="preserve"> (373)</w:t>
            </w:r>
          </w:p>
        </w:tc>
      </w:tr>
      <w:tr w:rsidR="00A2360D" w:rsidRPr="00AA6476" w:rsidTr="00A2360D">
        <w:tc>
          <w:tcPr>
            <w:tcW w:w="1129"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t>9</w:t>
            </w:r>
          </w:p>
        </w:tc>
        <w:tc>
          <w:tcPr>
            <w:tcW w:w="2410"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Fractura del antebrazo</w:t>
            </w:r>
            <w:r w:rsidRPr="00AA6476">
              <w:rPr>
                <w:rFonts w:ascii="Noto Sans" w:eastAsia="Times" w:hAnsi="Noto Sans" w:cs="Noto Sans"/>
                <w:color w:val="000000"/>
                <w:sz w:val="16"/>
                <w:szCs w:val="16"/>
              </w:rPr>
              <w:t xml:space="preserve"> (511)</w:t>
            </w:r>
          </w:p>
        </w:tc>
        <w:tc>
          <w:tcPr>
            <w:tcW w:w="2693"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Fractura del antebrazo</w:t>
            </w:r>
            <w:r w:rsidRPr="00AA6476">
              <w:rPr>
                <w:rFonts w:ascii="Noto Sans" w:eastAsia="Times" w:hAnsi="Noto Sans" w:cs="Noto Sans"/>
                <w:color w:val="000000"/>
                <w:sz w:val="16"/>
                <w:szCs w:val="16"/>
              </w:rPr>
              <w:t xml:space="preserve"> (557)</w:t>
            </w:r>
          </w:p>
        </w:tc>
        <w:tc>
          <w:tcPr>
            <w:tcW w:w="2596"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 xml:space="preserve">Parto único </w:t>
            </w:r>
            <w:sdt>
              <w:sdtPr>
                <w:rPr>
                  <w:rFonts w:ascii="Noto Sans" w:hAnsi="Noto Sans" w:cs="Noto Sans"/>
                  <w:b/>
                  <w:bCs/>
                  <w:sz w:val="16"/>
                  <w:szCs w:val="16"/>
                </w:rPr>
                <w:tag w:val="goog_rdk_127"/>
                <w:id w:val="-711498714"/>
              </w:sdtPr>
              <w:sdtEndPr/>
              <w:sdtContent>
                <w:r w:rsidRPr="00AA6476">
                  <w:rPr>
                    <w:rFonts w:ascii="Noto Sans" w:eastAsia="Times" w:hAnsi="Noto Sans" w:cs="Noto Sans"/>
                    <w:b/>
                    <w:bCs/>
                    <w:color w:val="000000"/>
                    <w:sz w:val="16"/>
                    <w:szCs w:val="16"/>
                  </w:rPr>
                  <w:t>espontáneo</w:t>
                </w:r>
              </w:sdtContent>
            </w:sdt>
            <w:sdt>
              <w:sdtPr>
                <w:rPr>
                  <w:rFonts w:ascii="Noto Sans" w:hAnsi="Noto Sans" w:cs="Noto Sans"/>
                  <w:sz w:val="16"/>
                  <w:szCs w:val="16"/>
                </w:rPr>
                <w:tag w:val="goog_rdk_128"/>
                <w:id w:val="1709524926"/>
                <w:showingPlcHdr/>
              </w:sdtPr>
              <w:sdtEndPr/>
              <w:sdtContent>
                <w:r w:rsidRPr="00AA6476">
                  <w:rPr>
                    <w:rFonts w:ascii="Noto Sans" w:hAnsi="Noto Sans" w:cs="Noto Sans"/>
                    <w:sz w:val="16"/>
                    <w:szCs w:val="16"/>
                  </w:rPr>
                  <w:t xml:space="preserve">     </w:t>
                </w:r>
              </w:sdtContent>
            </w:sdt>
            <w:r w:rsidRPr="00AA6476">
              <w:rPr>
                <w:rFonts w:ascii="Noto Sans" w:eastAsia="Times" w:hAnsi="Noto Sans" w:cs="Noto Sans"/>
                <w:color w:val="000000"/>
                <w:sz w:val="16"/>
                <w:szCs w:val="16"/>
              </w:rPr>
              <w:t xml:space="preserve"> (341)</w:t>
            </w:r>
          </w:p>
        </w:tc>
      </w:tr>
      <w:tr w:rsidR="00A2360D" w:rsidRPr="00AA6476" w:rsidTr="00A2360D">
        <w:tc>
          <w:tcPr>
            <w:tcW w:w="1129" w:type="dxa"/>
            <w:shd w:val="clear" w:color="auto" w:fill="D9D9D9" w:themeFill="background1" w:themeFillShade="D9"/>
          </w:tcPr>
          <w:p w:rsidR="00A2360D" w:rsidRPr="00AA6476" w:rsidRDefault="00A2360D" w:rsidP="00A2360D">
            <w:pPr>
              <w:spacing w:line="276" w:lineRule="auto"/>
              <w:ind w:hanging="2"/>
              <w:jc w:val="both"/>
              <w:rPr>
                <w:rFonts w:ascii="Noto Sans" w:eastAsia="Times" w:hAnsi="Noto Sans" w:cs="Noto Sans"/>
                <w:b/>
                <w:bCs/>
                <w:color w:val="000000"/>
                <w:sz w:val="16"/>
                <w:szCs w:val="16"/>
              </w:rPr>
            </w:pPr>
            <w:r w:rsidRPr="00AA6476">
              <w:rPr>
                <w:rFonts w:ascii="Noto Sans" w:eastAsia="Times" w:hAnsi="Noto Sans" w:cs="Noto Sans"/>
                <w:b/>
                <w:bCs/>
                <w:color w:val="000000"/>
                <w:sz w:val="16"/>
                <w:szCs w:val="16"/>
              </w:rPr>
              <w:lastRenderedPageBreak/>
              <w:t>10</w:t>
            </w:r>
          </w:p>
        </w:tc>
        <w:tc>
          <w:tcPr>
            <w:tcW w:w="2410"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Fractura del fémur</w:t>
            </w:r>
            <w:r w:rsidRPr="00AA6476">
              <w:rPr>
                <w:rFonts w:ascii="Noto Sans" w:eastAsia="Times" w:hAnsi="Noto Sans" w:cs="Noto Sans"/>
                <w:color w:val="000000"/>
                <w:sz w:val="16"/>
                <w:szCs w:val="16"/>
              </w:rPr>
              <w:t xml:space="preserve"> (481)</w:t>
            </w:r>
          </w:p>
        </w:tc>
        <w:tc>
          <w:tcPr>
            <w:tcW w:w="2693"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Tumor maligno del cuello del útero</w:t>
            </w:r>
            <w:r w:rsidRPr="00AA6476">
              <w:rPr>
                <w:rFonts w:ascii="Noto Sans" w:eastAsia="Times" w:hAnsi="Noto Sans" w:cs="Noto Sans"/>
                <w:color w:val="000000"/>
                <w:sz w:val="16"/>
                <w:szCs w:val="16"/>
              </w:rPr>
              <w:t xml:space="preserve"> (529)</w:t>
            </w:r>
          </w:p>
        </w:tc>
        <w:tc>
          <w:tcPr>
            <w:tcW w:w="2596" w:type="dxa"/>
          </w:tcPr>
          <w:p w:rsidR="00A2360D" w:rsidRPr="00AA6476" w:rsidRDefault="00A2360D" w:rsidP="00A2360D">
            <w:pPr>
              <w:spacing w:line="276" w:lineRule="auto"/>
              <w:ind w:hanging="2"/>
              <w:jc w:val="center"/>
              <w:rPr>
                <w:rFonts w:ascii="Noto Sans" w:eastAsia="Times" w:hAnsi="Noto Sans" w:cs="Noto Sans"/>
                <w:color w:val="000000"/>
                <w:sz w:val="16"/>
                <w:szCs w:val="16"/>
              </w:rPr>
            </w:pPr>
            <w:r w:rsidRPr="00AA6476">
              <w:rPr>
                <w:rFonts w:ascii="Noto Sans" w:eastAsia="Times" w:hAnsi="Noto Sans" w:cs="Noto Sans"/>
                <w:b/>
                <w:bCs/>
                <w:color w:val="000000"/>
                <w:sz w:val="16"/>
                <w:szCs w:val="16"/>
              </w:rPr>
              <w:t>Enfermedad renal crónica</w:t>
            </w:r>
            <w:r w:rsidRPr="00AA6476">
              <w:rPr>
                <w:rFonts w:ascii="Noto Sans" w:eastAsia="Times" w:hAnsi="Noto Sans" w:cs="Noto Sans"/>
                <w:color w:val="000000"/>
                <w:sz w:val="16"/>
                <w:szCs w:val="16"/>
              </w:rPr>
              <w:t xml:space="preserve"> (339)</w:t>
            </w:r>
          </w:p>
        </w:tc>
      </w:tr>
    </w:tbl>
    <w:p w:rsidR="00A2360D" w:rsidRDefault="00A2360D" w:rsidP="00A2360D">
      <w:pPr>
        <w:tabs>
          <w:tab w:val="left" w:pos="567"/>
        </w:tabs>
        <w:ind w:hanging="2"/>
        <w:rPr>
          <w:rFonts w:ascii="Noto Sans" w:eastAsia="Times New Roman" w:hAnsi="Noto Sans" w:cs="Noto Sans"/>
          <w:i/>
          <w:sz w:val="16"/>
          <w:szCs w:val="20"/>
        </w:rPr>
      </w:pPr>
      <w:r w:rsidRPr="0047528A">
        <w:rPr>
          <w:rFonts w:ascii="Noto Sans" w:eastAsia="Times New Roman" w:hAnsi="Noto Sans" w:cs="Noto Sans"/>
          <w:i/>
          <w:sz w:val="16"/>
          <w:szCs w:val="20"/>
        </w:rPr>
        <w:t>1.Información de 9 I.N.Salud (N=39,238)</w:t>
      </w:r>
    </w:p>
    <w:p w:rsidR="00A2360D" w:rsidRPr="0047528A" w:rsidRDefault="00A2360D" w:rsidP="00A2360D">
      <w:pPr>
        <w:tabs>
          <w:tab w:val="left" w:pos="567"/>
        </w:tabs>
        <w:ind w:hanging="2"/>
        <w:rPr>
          <w:rFonts w:ascii="Noto Sans" w:eastAsia="Times New Roman" w:hAnsi="Noto Sans" w:cs="Noto Sans"/>
          <w:i/>
          <w:sz w:val="16"/>
          <w:szCs w:val="20"/>
        </w:rPr>
      </w:pPr>
      <w:r w:rsidRPr="0047528A">
        <w:rPr>
          <w:rFonts w:ascii="Noto Sans" w:eastAsia="Times New Roman" w:hAnsi="Noto Sans" w:cs="Noto Sans"/>
          <w:i/>
          <w:sz w:val="16"/>
          <w:szCs w:val="20"/>
        </w:rPr>
        <w:t>2.Información de 8 I.N.Salud (N=38,970)</w:t>
      </w:r>
    </w:p>
    <w:p w:rsidR="00A2360D" w:rsidRPr="0047528A" w:rsidRDefault="00A2360D" w:rsidP="00A2360D">
      <w:pPr>
        <w:tabs>
          <w:tab w:val="left" w:pos="567"/>
        </w:tabs>
        <w:ind w:hanging="2"/>
        <w:rPr>
          <w:rFonts w:ascii="Noto Sans" w:eastAsia="Times New Roman" w:hAnsi="Noto Sans" w:cs="Noto Sans"/>
          <w:i/>
          <w:sz w:val="16"/>
          <w:szCs w:val="20"/>
        </w:rPr>
      </w:pPr>
      <w:r w:rsidRPr="0047528A">
        <w:rPr>
          <w:rFonts w:ascii="Noto Sans" w:eastAsia="Times New Roman" w:hAnsi="Noto Sans" w:cs="Noto Sans"/>
          <w:i/>
          <w:sz w:val="16"/>
          <w:szCs w:val="20"/>
        </w:rPr>
        <w:t>3.Información de 4 I.N.Salud (N=18,163)</w:t>
      </w:r>
    </w:p>
    <w:p w:rsidR="00A2360D" w:rsidRPr="0047528A" w:rsidRDefault="00A2360D" w:rsidP="00A2360D">
      <w:pPr>
        <w:tabs>
          <w:tab w:val="left" w:pos="567"/>
        </w:tabs>
        <w:ind w:hanging="2"/>
        <w:rPr>
          <w:rFonts w:ascii="Noto Sans" w:eastAsia="Times New Roman" w:hAnsi="Noto Sans" w:cs="Noto Sans"/>
          <w:i/>
          <w:sz w:val="16"/>
          <w:szCs w:val="20"/>
        </w:rPr>
      </w:pPr>
      <w:r w:rsidRPr="0047528A">
        <w:rPr>
          <w:rFonts w:ascii="Noto Sans" w:eastAsia="Times New Roman" w:hAnsi="Noto Sans" w:cs="Noto Sans"/>
          <w:i/>
          <w:sz w:val="16"/>
          <w:szCs w:val="20"/>
        </w:rPr>
        <w:t>Código CIE-10 de la afección principal</w:t>
      </w:r>
    </w:p>
    <w:p w:rsidR="00A2360D" w:rsidRPr="0047528A" w:rsidRDefault="00A2360D" w:rsidP="00A2360D">
      <w:pPr>
        <w:tabs>
          <w:tab w:val="left" w:pos="567"/>
        </w:tabs>
        <w:ind w:hanging="2"/>
        <w:rPr>
          <w:rFonts w:ascii="Noto Sans" w:eastAsia="Times New Roman" w:hAnsi="Noto Sans" w:cs="Noto Sans"/>
          <w:i/>
          <w:sz w:val="16"/>
          <w:szCs w:val="20"/>
        </w:rPr>
      </w:pPr>
      <w:r w:rsidRPr="0047528A">
        <w:rPr>
          <w:rFonts w:ascii="Noto Sans" w:eastAsia="Times New Roman" w:hAnsi="Noto Sans" w:cs="Noto Sans"/>
          <w:i/>
          <w:sz w:val="16"/>
          <w:szCs w:val="20"/>
        </w:rPr>
        <w:t>Fuente: Elaboración propia con Bases de Egresos Hospitalarios DGIS</w:t>
      </w:r>
    </w:p>
    <w:p w:rsidR="00A2360D" w:rsidRPr="007715DC" w:rsidRDefault="00A2360D" w:rsidP="00A2360D">
      <w:pPr>
        <w:spacing w:before="120" w:after="120" w:line="276" w:lineRule="auto"/>
        <w:jc w:val="both"/>
        <w:rPr>
          <w:rFonts w:ascii="Noto Sans" w:hAnsi="Noto Sans" w:cs="Noto Sans"/>
          <w:sz w:val="20"/>
          <w:szCs w:val="20"/>
        </w:rPr>
      </w:pPr>
      <w:r w:rsidRPr="007715DC">
        <w:rPr>
          <w:rFonts w:ascii="Noto Sans" w:hAnsi="Noto Sans" w:cs="Noto Sans"/>
          <w:sz w:val="20"/>
          <w:szCs w:val="20"/>
        </w:rPr>
        <w:t>De acuerdo con la información de las 10 causas de muerte reportadas por las unidades médicas durante el periodo de 2019 a 2023 y conforme la Clasificación Estadística Internacional de Enfermedades y Problemas relacionados con la Salud, la principal causa de mortalidad fue ocasionada por el virus del SARS-CoV-2 registrada durante los años 2020 y 2021, la segunda causa de muerte son síntomas y signos anormales como choques: séptico, hipovolémico, cardiaco concentrado en su mayoría en el año 2023, la tercer causa de muerte está relacionada con tumores con el mayor número de muertes en el año 2019, las tres primeras causas de muerte se encuentran en el rango de adultos de 30 a 64 años y la cuarta causa de muerte está relacionada con las afecciones en el periodo perinatal, es decir hasta 1 año de edad.</w:t>
      </w:r>
    </w:p>
    <w:p w:rsidR="00A2360D" w:rsidRPr="007715DC" w:rsidRDefault="00A2360D" w:rsidP="00A2360D">
      <w:pPr>
        <w:spacing w:line="360" w:lineRule="auto"/>
        <w:ind w:hanging="2"/>
        <w:jc w:val="both"/>
        <w:rPr>
          <w:rFonts w:ascii="Noto Sans" w:eastAsia="Times New Roman" w:hAnsi="Noto Sans" w:cs="Noto Sans"/>
          <w:color w:val="000000"/>
          <w:sz w:val="20"/>
          <w:szCs w:val="20"/>
        </w:rPr>
      </w:pPr>
      <w:r w:rsidRPr="007715DC">
        <w:rPr>
          <w:rFonts w:ascii="Noto Sans" w:eastAsia="Times New Roman" w:hAnsi="Noto Sans" w:cs="Noto Sans"/>
          <w:b/>
          <w:bCs/>
          <w:color w:val="000000"/>
          <w:sz w:val="20"/>
          <w:szCs w:val="20"/>
        </w:rPr>
        <w:t>Tabla 6.</w:t>
      </w:r>
      <w:r w:rsidRPr="007715DC">
        <w:rPr>
          <w:rFonts w:ascii="Noto Sans" w:eastAsia="Times New Roman" w:hAnsi="Noto Sans" w:cs="Noto Sans"/>
          <w:color w:val="000000"/>
          <w:sz w:val="20"/>
          <w:szCs w:val="20"/>
        </w:rPr>
        <w:t xml:space="preserve"> Causas de mortalidad por rango de edades Pp E031, 2019-2023</w:t>
      </w:r>
    </w:p>
    <w:tbl>
      <w:tblPr>
        <w:tblW w:w="8360" w:type="dxa"/>
        <w:tblCellMar>
          <w:left w:w="70" w:type="dxa"/>
          <w:right w:w="70" w:type="dxa"/>
        </w:tblCellMar>
        <w:tblLook w:val="04A0" w:firstRow="1" w:lastRow="0" w:firstColumn="1" w:lastColumn="0" w:noHBand="0" w:noVBand="1"/>
      </w:tblPr>
      <w:tblGrid>
        <w:gridCol w:w="920"/>
        <w:gridCol w:w="1240"/>
        <w:gridCol w:w="1240"/>
        <w:gridCol w:w="1240"/>
        <w:gridCol w:w="1240"/>
        <w:gridCol w:w="1240"/>
        <w:gridCol w:w="1240"/>
      </w:tblGrid>
      <w:tr w:rsidR="00A2360D" w:rsidRPr="00AA6476" w:rsidTr="00A2360D">
        <w:trPr>
          <w:trHeight w:val="684"/>
          <w:tblHeader/>
        </w:trPr>
        <w:tc>
          <w:tcPr>
            <w:tcW w:w="920" w:type="dxa"/>
            <w:tcBorders>
              <w:top w:val="single" w:sz="4" w:space="0" w:color="D9D9D9"/>
              <w:left w:val="single" w:sz="4" w:space="0" w:color="D9D9D9"/>
              <w:bottom w:val="single" w:sz="4" w:space="0" w:color="D9D9D9"/>
              <w:right w:val="single" w:sz="4" w:space="0" w:color="D9D9D9"/>
            </w:tcBorders>
            <w:shd w:val="clear" w:color="000000" w:fill="808080"/>
            <w:noWrap/>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CIE-10</w:t>
            </w:r>
          </w:p>
        </w:tc>
        <w:tc>
          <w:tcPr>
            <w:tcW w:w="1240" w:type="dxa"/>
            <w:tcBorders>
              <w:top w:val="single" w:sz="4" w:space="0" w:color="D9D9D9"/>
              <w:left w:val="nil"/>
              <w:bottom w:val="single" w:sz="4" w:space="0" w:color="D9D9D9"/>
              <w:right w:val="single" w:sz="4" w:space="0" w:color="D9D9D9"/>
            </w:tcBorders>
            <w:shd w:val="clear" w:color="000000" w:fill="808080"/>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 xml:space="preserve">Infantes </w:t>
            </w:r>
            <w:r w:rsidRPr="00AA6476">
              <w:rPr>
                <w:rFonts w:ascii="Noto Sans" w:eastAsia="Times New Roman" w:hAnsi="Noto Sans" w:cs="Noto Sans"/>
                <w:b/>
                <w:bCs/>
                <w:color w:val="FFFFFF"/>
                <w:sz w:val="16"/>
                <w:szCs w:val="16"/>
              </w:rPr>
              <w:br/>
              <w:t>0 - 5 años 11 meses</w:t>
            </w:r>
          </w:p>
        </w:tc>
        <w:tc>
          <w:tcPr>
            <w:tcW w:w="1240" w:type="dxa"/>
            <w:tcBorders>
              <w:top w:val="single" w:sz="4" w:space="0" w:color="D9D9D9"/>
              <w:left w:val="nil"/>
              <w:bottom w:val="single" w:sz="4" w:space="0" w:color="D9D9D9"/>
              <w:right w:val="single" w:sz="4" w:space="0" w:color="D9D9D9"/>
            </w:tcBorders>
            <w:shd w:val="clear" w:color="000000" w:fill="808080"/>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 xml:space="preserve">Niñas y niños </w:t>
            </w:r>
            <w:r w:rsidRPr="00AA6476">
              <w:rPr>
                <w:rFonts w:ascii="Noto Sans" w:eastAsia="Times New Roman" w:hAnsi="Noto Sans" w:cs="Noto Sans"/>
                <w:b/>
                <w:bCs/>
                <w:color w:val="FFFFFF"/>
                <w:sz w:val="16"/>
                <w:szCs w:val="16"/>
              </w:rPr>
              <w:br/>
              <w:t>6 - 12 años 11 meses</w:t>
            </w:r>
          </w:p>
        </w:tc>
        <w:tc>
          <w:tcPr>
            <w:tcW w:w="1240" w:type="dxa"/>
            <w:tcBorders>
              <w:top w:val="single" w:sz="4" w:space="0" w:color="D9D9D9"/>
              <w:left w:val="nil"/>
              <w:bottom w:val="single" w:sz="4" w:space="0" w:color="D9D9D9"/>
              <w:right w:val="single" w:sz="4" w:space="0" w:color="D9D9D9"/>
            </w:tcBorders>
            <w:shd w:val="clear" w:color="000000" w:fill="808080"/>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 xml:space="preserve">Adolecentes </w:t>
            </w:r>
            <w:r w:rsidRPr="00AA6476">
              <w:rPr>
                <w:rFonts w:ascii="Noto Sans" w:eastAsia="Times New Roman" w:hAnsi="Noto Sans" w:cs="Noto Sans"/>
                <w:b/>
                <w:bCs/>
                <w:color w:val="FFFFFF"/>
                <w:sz w:val="16"/>
                <w:szCs w:val="16"/>
              </w:rPr>
              <w:br/>
              <w:t>13 - 17 años 11 meses</w:t>
            </w:r>
          </w:p>
        </w:tc>
        <w:tc>
          <w:tcPr>
            <w:tcW w:w="1240" w:type="dxa"/>
            <w:tcBorders>
              <w:top w:val="single" w:sz="4" w:space="0" w:color="D9D9D9"/>
              <w:left w:val="nil"/>
              <w:bottom w:val="single" w:sz="4" w:space="0" w:color="D9D9D9"/>
              <w:right w:val="single" w:sz="4" w:space="0" w:color="D9D9D9"/>
            </w:tcBorders>
            <w:shd w:val="clear" w:color="000000" w:fill="808080"/>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 xml:space="preserve">Jóvenes </w:t>
            </w:r>
            <w:r w:rsidRPr="00AA6476">
              <w:rPr>
                <w:rFonts w:ascii="Noto Sans" w:eastAsia="Times New Roman" w:hAnsi="Noto Sans" w:cs="Noto Sans"/>
                <w:b/>
                <w:bCs/>
                <w:color w:val="FFFFFF"/>
                <w:sz w:val="16"/>
                <w:szCs w:val="16"/>
              </w:rPr>
              <w:br/>
              <w:t>18 - 29 años 11 meses</w:t>
            </w:r>
          </w:p>
        </w:tc>
        <w:tc>
          <w:tcPr>
            <w:tcW w:w="1240" w:type="dxa"/>
            <w:tcBorders>
              <w:top w:val="single" w:sz="4" w:space="0" w:color="D9D9D9"/>
              <w:left w:val="nil"/>
              <w:bottom w:val="single" w:sz="4" w:space="0" w:color="D9D9D9"/>
              <w:right w:val="single" w:sz="4" w:space="0" w:color="D9D9D9"/>
            </w:tcBorders>
            <w:shd w:val="clear" w:color="000000" w:fill="808080"/>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 xml:space="preserve">Adultos </w:t>
            </w:r>
            <w:r w:rsidRPr="00AA6476">
              <w:rPr>
                <w:rFonts w:ascii="Noto Sans" w:eastAsia="Times New Roman" w:hAnsi="Noto Sans" w:cs="Noto Sans"/>
                <w:b/>
                <w:bCs/>
                <w:color w:val="FFFFFF"/>
                <w:sz w:val="16"/>
                <w:szCs w:val="16"/>
              </w:rPr>
              <w:br/>
              <w:t>30 - 64 años 11 meses</w:t>
            </w:r>
          </w:p>
        </w:tc>
        <w:tc>
          <w:tcPr>
            <w:tcW w:w="1240" w:type="dxa"/>
            <w:tcBorders>
              <w:top w:val="single" w:sz="4" w:space="0" w:color="D9D9D9"/>
              <w:left w:val="nil"/>
              <w:bottom w:val="single" w:sz="4" w:space="0" w:color="D9D9D9"/>
              <w:right w:val="single" w:sz="4" w:space="0" w:color="D9D9D9"/>
            </w:tcBorders>
            <w:shd w:val="clear" w:color="000000" w:fill="808080"/>
            <w:vAlign w:val="center"/>
            <w:hideMark/>
          </w:tcPr>
          <w:p w:rsidR="00A2360D" w:rsidRPr="00AA6476" w:rsidRDefault="00A2360D" w:rsidP="00A2360D">
            <w:pPr>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 xml:space="preserve">Adultos </w:t>
            </w:r>
            <w:r w:rsidRPr="00AA6476">
              <w:rPr>
                <w:rFonts w:ascii="Noto Sans" w:eastAsia="Times New Roman" w:hAnsi="Noto Sans" w:cs="Noto Sans"/>
                <w:b/>
                <w:bCs/>
                <w:color w:val="FFFFFF"/>
                <w:sz w:val="16"/>
                <w:szCs w:val="16"/>
              </w:rPr>
              <w:br/>
              <w:t>mayores &gt; 65 años</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XXII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116</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3,133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2,558</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XVIII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161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171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1,891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1,119</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123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110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328</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1,570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707</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XVI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1439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IX</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34</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643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715</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X</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26</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38</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537</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634</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XIV</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482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220</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XI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385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199</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XVII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457</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47</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37</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289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131</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IV</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232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182</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III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XII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28</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32</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VI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14</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XX</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17</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XIII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V</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XIX</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8</w:t>
            </w:r>
          </w:p>
        </w:tc>
      </w:tr>
      <w:tr w:rsidR="00A2360D" w:rsidRPr="00AA6476" w:rsidTr="00A2360D">
        <w:trPr>
          <w:trHeight w:val="240"/>
        </w:trPr>
        <w:tc>
          <w:tcPr>
            <w:tcW w:w="92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AA6476" w:rsidRDefault="00A2360D" w:rsidP="00A2360D">
            <w:pPr>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XV</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AA6476" w:rsidRDefault="00A2360D" w:rsidP="00A2360D">
            <w:pPr>
              <w:jc w:val="center"/>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r>
    </w:tbl>
    <w:p w:rsidR="00A2360D" w:rsidRPr="0047528A" w:rsidRDefault="00A2360D" w:rsidP="00A2360D">
      <w:pPr>
        <w:tabs>
          <w:tab w:val="left" w:pos="567"/>
        </w:tabs>
        <w:ind w:hanging="2"/>
        <w:rPr>
          <w:rFonts w:ascii="Noto Sans" w:eastAsia="Times New Roman" w:hAnsi="Noto Sans" w:cs="Noto Sans"/>
          <w:i/>
          <w:sz w:val="16"/>
          <w:szCs w:val="20"/>
        </w:rPr>
      </w:pPr>
      <w:r w:rsidRPr="0047528A">
        <w:rPr>
          <w:rFonts w:ascii="Noto Sans" w:eastAsia="Times New Roman" w:hAnsi="Noto Sans" w:cs="Noto Sans"/>
          <w:i/>
          <w:sz w:val="16"/>
          <w:szCs w:val="20"/>
        </w:rPr>
        <w:t>El Hospital de la Mujer reporto los años (2020-2023)</w:t>
      </w:r>
    </w:p>
    <w:p w:rsidR="00A2360D" w:rsidRPr="0047528A" w:rsidRDefault="00A2360D" w:rsidP="00A2360D">
      <w:pPr>
        <w:tabs>
          <w:tab w:val="left" w:pos="567"/>
        </w:tabs>
        <w:ind w:hanging="2"/>
        <w:rPr>
          <w:rFonts w:ascii="Noto Sans" w:eastAsia="Times New Roman" w:hAnsi="Noto Sans" w:cs="Noto Sans"/>
          <w:i/>
          <w:sz w:val="16"/>
          <w:szCs w:val="20"/>
        </w:rPr>
      </w:pPr>
      <w:r w:rsidRPr="0047528A">
        <w:rPr>
          <w:rFonts w:ascii="Noto Sans" w:eastAsia="Times New Roman" w:hAnsi="Noto Sans" w:cs="Noto Sans"/>
          <w:i/>
          <w:sz w:val="16"/>
          <w:szCs w:val="20"/>
        </w:rPr>
        <w:t>El Instituto Nacional de Psiquiatría Ramón de la Fuente Muñiz no tuvo defunciones en ninguno de los años reportados.</w:t>
      </w:r>
    </w:p>
    <w:p w:rsidR="00A2360D" w:rsidRDefault="00A2360D" w:rsidP="00A2360D">
      <w:pPr>
        <w:tabs>
          <w:tab w:val="left" w:pos="567"/>
        </w:tabs>
        <w:ind w:hanging="2"/>
        <w:rPr>
          <w:rFonts w:ascii="Noto Sans" w:eastAsia="Times New Roman" w:hAnsi="Noto Sans" w:cs="Noto Sans"/>
          <w:i/>
          <w:sz w:val="16"/>
          <w:szCs w:val="20"/>
        </w:rPr>
      </w:pPr>
      <w:r w:rsidRPr="0047528A">
        <w:rPr>
          <w:rFonts w:ascii="Noto Sans" w:eastAsia="Times New Roman" w:hAnsi="Noto Sans" w:cs="Noto Sans"/>
          <w:i/>
          <w:sz w:val="16"/>
          <w:szCs w:val="20"/>
        </w:rPr>
        <w:t>El Instituto Nacional de Geriatría no reporto defunciones debido a que no cuenta con hospitalizaciones.</w:t>
      </w:r>
    </w:p>
    <w:p w:rsidR="00A2360D" w:rsidRDefault="00A2360D" w:rsidP="00A2360D">
      <w:pPr>
        <w:tabs>
          <w:tab w:val="left" w:pos="567"/>
        </w:tabs>
        <w:ind w:hanging="2"/>
        <w:rPr>
          <w:rFonts w:ascii="Noto Sans" w:eastAsia="Times New Roman" w:hAnsi="Noto Sans" w:cs="Noto Sans"/>
          <w:i/>
          <w:sz w:val="16"/>
          <w:szCs w:val="20"/>
        </w:rPr>
      </w:pPr>
    </w:p>
    <w:p w:rsidR="00A2360D" w:rsidRPr="0047528A" w:rsidRDefault="00A2360D" w:rsidP="00A2360D">
      <w:pPr>
        <w:tabs>
          <w:tab w:val="left" w:pos="567"/>
        </w:tabs>
        <w:ind w:hanging="2"/>
        <w:rPr>
          <w:rFonts w:ascii="Noto Sans" w:eastAsia="Times New Roman" w:hAnsi="Noto Sans" w:cs="Noto Sans"/>
          <w:i/>
          <w:sz w:val="16"/>
          <w:szCs w:val="20"/>
        </w:rPr>
      </w:pPr>
    </w:p>
    <w:p w:rsidR="00A2360D" w:rsidRPr="007715DC" w:rsidRDefault="00A2360D" w:rsidP="00A2360D">
      <w:pPr>
        <w:tabs>
          <w:tab w:val="left" w:pos="567"/>
        </w:tabs>
        <w:ind w:hanging="2"/>
        <w:rPr>
          <w:rFonts w:ascii="Noto Sans" w:eastAsia="Times New Roman" w:hAnsi="Noto Sans" w:cs="Noto Sans"/>
          <w:sz w:val="20"/>
          <w:szCs w:val="20"/>
        </w:rPr>
      </w:pPr>
    </w:p>
    <w:tbl>
      <w:tblPr>
        <w:tblStyle w:val="Tablaconcuadrcula"/>
        <w:tblW w:w="0" w:type="auto"/>
        <w:tblLook w:val="04A0" w:firstRow="1" w:lastRow="0" w:firstColumn="1" w:lastColumn="0" w:noHBand="0" w:noVBand="1"/>
      </w:tblPr>
      <w:tblGrid>
        <w:gridCol w:w="8828"/>
      </w:tblGrid>
      <w:tr w:rsidR="00A2360D" w:rsidTr="00A2360D">
        <w:tc>
          <w:tcPr>
            <w:tcW w:w="8828" w:type="dxa"/>
          </w:tcPr>
          <w:tbl>
            <w:tblPr>
              <w:tblW w:w="10019" w:type="dxa"/>
              <w:tblCellMar>
                <w:left w:w="70" w:type="dxa"/>
                <w:right w:w="70" w:type="dxa"/>
              </w:tblCellMar>
              <w:tblLook w:val="04A0" w:firstRow="1" w:lastRow="0" w:firstColumn="1" w:lastColumn="0" w:noHBand="0" w:noVBand="1"/>
            </w:tblPr>
            <w:tblGrid>
              <w:gridCol w:w="812"/>
              <w:gridCol w:w="7800"/>
            </w:tblGrid>
            <w:tr w:rsidR="00A2360D" w:rsidRPr="0047528A" w:rsidTr="00A2360D">
              <w:trPr>
                <w:trHeight w:val="217"/>
              </w:trPr>
              <w:tc>
                <w:tcPr>
                  <w:tcW w:w="925" w:type="dxa"/>
                  <w:tcBorders>
                    <w:top w:val="nil"/>
                    <w:left w:val="nil"/>
                    <w:bottom w:val="single" w:sz="4" w:space="0" w:color="auto"/>
                    <w:right w:val="nil"/>
                  </w:tcBorders>
                  <w:shd w:val="clear" w:color="auto" w:fill="auto"/>
                  <w:vAlign w:val="center"/>
                  <w:hideMark/>
                </w:tcPr>
                <w:p w:rsidR="00A2360D" w:rsidRPr="0047528A" w:rsidRDefault="00A2360D" w:rsidP="00A2360D">
                  <w:pPr>
                    <w:rPr>
                      <w:rFonts w:ascii="Noto Sans" w:eastAsia="Times New Roman" w:hAnsi="Noto Sans" w:cs="Noto Sans"/>
                      <w:b/>
                      <w:bCs/>
                      <w:sz w:val="20"/>
                      <w:szCs w:val="20"/>
                    </w:rPr>
                  </w:pPr>
                  <w:r w:rsidRPr="0047528A">
                    <w:rPr>
                      <w:rFonts w:ascii="Noto Sans" w:eastAsia="Times New Roman" w:hAnsi="Noto Sans" w:cs="Noto Sans"/>
                      <w:b/>
                      <w:bCs/>
                      <w:sz w:val="20"/>
                      <w:szCs w:val="20"/>
                    </w:rPr>
                    <w:lastRenderedPageBreak/>
                    <w:t>CIE-10</w:t>
                  </w:r>
                </w:p>
              </w:tc>
              <w:tc>
                <w:tcPr>
                  <w:tcW w:w="9094" w:type="dxa"/>
                  <w:tcBorders>
                    <w:top w:val="nil"/>
                    <w:left w:val="nil"/>
                    <w:bottom w:val="single" w:sz="4" w:space="0" w:color="auto"/>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 xml:space="preserve">Clasificación Estadística Internacional de Enfermedades y problemas relacionado con la Salud </w:t>
                  </w:r>
                </w:p>
              </w:tc>
            </w:tr>
            <w:tr w:rsidR="00A2360D" w:rsidRPr="0047528A" w:rsidTr="00A2360D">
              <w:trPr>
                <w:trHeight w:val="217"/>
              </w:trPr>
              <w:tc>
                <w:tcPr>
                  <w:tcW w:w="925" w:type="dxa"/>
                  <w:tcBorders>
                    <w:top w:val="single" w:sz="4" w:space="0" w:color="auto"/>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I</w:t>
                  </w:r>
                </w:p>
              </w:tc>
              <w:tc>
                <w:tcPr>
                  <w:tcW w:w="9094" w:type="dxa"/>
                  <w:tcBorders>
                    <w:top w:val="single" w:sz="4" w:space="0" w:color="auto"/>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Ciertas enfermedades infecciosas y parasitarias</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II</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Tumores [neoplasias]</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III</w:t>
                  </w:r>
                </w:p>
              </w:tc>
              <w:tc>
                <w:tcPr>
                  <w:tcW w:w="9094" w:type="dxa"/>
                  <w:tcBorders>
                    <w:top w:val="nil"/>
                    <w:left w:val="nil"/>
                    <w:bottom w:val="nil"/>
                    <w:right w:val="nil"/>
                  </w:tcBorders>
                  <w:shd w:val="clear" w:color="auto" w:fill="auto"/>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Enfermedades de la sangre y de los órganos hematopoyéticos, y ciertos trastornos que afectan el mecanismo de la inmunidad</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IV</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Enfermedades endocrinas, nutricionales y metabólicas</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V</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Trastornos mentales y del comportamiento</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VI</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Enfermedades del sistema nervioso</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VII</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Enfermedades del ojo y sus anexos</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VIII</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Enfermedades del oído y de la apófisis mastoides</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IX</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Enfermedades del sistema circulatorio</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X</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Enfermedades del sistema respiratorio</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XI</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Enfermedades del sistema digestivo</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XII</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Enfermedades de la piel y del tejido subcutáneo</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XIII</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Enfermedades del sistema osteomuscular y del tejido conjuntivo</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XIV</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Enfermedades del sistema genitourinario</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XV</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Embarazo, parto y puerperio</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XVI</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Ciertas afecciones originadas en el período perinatal</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XVII</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Malformaciones congénitas, deformidades y anomalías cromosómicas</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XVIII</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Síntomas, signos y hallazgos anormales clínicos y de laboratorio, no clasificados en otra parte</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XIX</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Traumatismos, envenenamientos y algunas otras consecuencias de causas externas</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XX</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Causas externas de morbilidad y de mortalidad</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XXI</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Factores que influyen en el estado de salud y contacto con los servicios de salud</w:t>
                  </w:r>
                </w:p>
              </w:tc>
            </w:tr>
            <w:tr w:rsidR="00A2360D" w:rsidRPr="0047528A" w:rsidTr="00A2360D">
              <w:trPr>
                <w:trHeight w:val="217"/>
              </w:trPr>
              <w:tc>
                <w:tcPr>
                  <w:tcW w:w="925"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XXII</w:t>
                  </w:r>
                </w:p>
              </w:tc>
              <w:tc>
                <w:tcPr>
                  <w:tcW w:w="9094" w:type="dxa"/>
                  <w:tcBorders>
                    <w:top w:val="nil"/>
                    <w:left w:val="nil"/>
                    <w:bottom w:val="nil"/>
                    <w:right w:val="nil"/>
                  </w:tcBorders>
                  <w:shd w:val="clear" w:color="auto" w:fill="auto"/>
                  <w:noWrap/>
                  <w:vAlign w:val="center"/>
                  <w:hideMark/>
                </w:tcPr>
                <w:p w:rsidR="00A2360D" w:rsidRPr="0047528A" w:rsidRDefault="00A2360D" w:rsidP="00A2360D">
                  <w:pPr>
                    <w:rPr>
                      <w:rFonts w:ascii="Noto Sans" w:eastAsia="Times New Roman" w:hAnsi="Noto Sans" w:cs="Noto Sans"/>
                      <w:color w:val="000000"/>
                      <w:sz w:val="20"/>
                      <w:szCs w:val="20"/>
                    </w:rPr>
                  </w:pPr>
                  <w:r w:rsidRPr="0047528A">
                    <w:rPr>
                      <w:rFonts w:ascii="Noto Sans" w:eastAsia="Times New Roman" w:hAnsi="Noto Sans" w:cs="Noto Sans"/>
                      <w:color w:val="000000"/>
                      <w:sz w:val="20"/>
                      <w:szCs w:val="20"/>
                    </w:rPr>
                    <w:t>Códigos para propósitos especiales COVID-19)</w:t>
                  </w:r>
                </w:p>
              </w:tc>
            </w:tr>
          </w:tbl>
          <w:p w:rsidR="00A2360D" w:rsidRDefault="00A2360D" w:rsidP="00A2360D"/>
        </w:tc>
      </w:tr>
    </w:tbl>
    <w:p w:rsidR="00A2360D" w:rsidRPr="0047528A" w:rsidRDefault="00A2360D" w:rsidP="00A2360D">
      <w:pPr>
        <w:spacing w:before="60" w:line="360" w:lineRule="auto"/>
        <w:ind w:hanging="2"/>
        <w:jc w:val="both"/>
        <w:rPr>
          <w:rFonts w:ascii="Noto Sans" w:eastAsia="Times New Roman" w:hAnsi="Noto Sans" w:cs="Noto Sans"/>
          <w:i/>
          <w:sz w:val="16"/>
          <w:szCs w:val="20"/>
        </w:rPr>
      </w:pPr>
      <w:r w:rsidRPr="0047528A">
        <w:rPr>
          <w:rFonts w:ascii="Noto Sans" w:eastAsia="Times New Roman" w:hAnsi="Noto Sans" w:cs="Noto Sans"/>
          <w:i/>
          <w:sz w:val="16"/>
          <w:szCs w:val="20"/>
        </w:rPr>
        <w:t xml:space="preserve">Elaboración propia </w:t>
      </w:r>
    </w:p>
    <w:p w:rsidR="00A2360D" w:rsidRPr="007715DC" w:rsidRDefault="00A2360D" w:rsidP="00A2360D">
      <w:pPr>
        <w:spacing w:before="120" w:after="120" w:line="276" w:lineRule="auto"/>
        <w:jc w:val="both"/>
        <w:rPr>
          <w:rFonts w:ascii="Noto Sans" w:hAnsi="Noto Sans" w:cs="Noto Sans"/>
          <w:sz w:val="20"/>
          <w:szCs w:val="20"/>
        </w:rPr>
      </w:pPr>
      <w:r w:rsidRPr="007715DC">
        <w:rPr>
          <w:rFonts w:ascii="Noto Sans" w:hAnsi="Noto Sans" w:cs="Noto Sans"/>
          <w:sz w:val="20"/>
          <w:szCs w:val="20"/>
        </w:rPr>
        <w:t>En cuanto a los años de vida ajustados por discapacidad (AVISA), indicador compuesto por los años perdidos por muerte prematura y por discapacidad, se encontró que, en México, para el año 2019, la principal causa de años perdidos para la población mexicana fue la diabetes mellitus tipo 2, seguida de la enfermedad renal crónica y enfermedad isquémica del corazón, predominando estas mismas en mujeres. Mientras que, en el caso de los hombres predominaron: la violencia interpersonal, la diabetes mellitus tipo 2 y las enfermedades isquémicas del corazón (Tabla 7).</w:t>
      </w:r>
    </w:p>
    <w:p w:rsidR="00A2360D" w:rsidRPr="007715DC" w:rsidRDefault="00A2360D" w:rsidP="00A2360D">
      <w:pPr>
        <w:spacing w:line="360" w:lineRule="auto"/>
        <w:ind w:hanging="2"/>
        <w:jc w:val="both"/>
        <w:rPr>
          <w:rFonts w:ascii="Noto Sans" w:eastAsia="Times New Roman" w:hAnsi="Noto Sans" w:cs="Noto Sans"/>
          <w:sz w:val="20"/>
          <w:szCs w:val="20"/>
        </w:rPr>
      </w:pPr>
      <w:r w:rsidRPr="007715DC">
        <w:rPr>
          <w:rFonts w:ascii="Noto Sans" w:eastAsia="Times New Roman" w:hAnsi="Noto Sans" w:cs="Noto Sans"/>
          <w:b/>
          <w:sz w:val="20"/>
          <w:szCs w:val="20"/>
        </w:rPr>
        <w:t>Tabla 7.</w:t>
      </w:r>
      <w:r w:rsidRPr="007715DC">
        <w:rPr>
          <w:rFonts w:ascii="Noto Sans" w:eastAsia="Times New Roman" w:hAnsi="Noto Sans" w:cs="Noto Sans"/>
          <w:sz w:val="20"/>
          <w:szCs w:val="20"/>
        </w:rPr>
        <w:t xml:space="preserve"> Años de vida ajustados por discapacidad en México y por sexos para el año 2019</w:t>
      </w:r>
    </w:p>
    <w:tbl>
      <w:tblPr>
        <w:tblW w:w="883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4"/>
        <w:gridCol w:w="2453"/>
        <w:gridCol w:w="2833"/>
        <w:gridCol w:w="2683"/>
      </w:tblGrid>
      <w:tr w:rsidR="00A2360D" w:rsidRPr="007715DC" w:rsidTr="00A2360D">
        <w:trPr>
          <w:trHeight w:val="173"/>
          <w:tblHeader/>
        </w:trPr>
        <w:tc>
          <w:tcPr>
            <w:tcW w:w="864" w:type="dxa"/>
            <w:shd w:val="clear" w:color="auto" w:fill="404040" w:themeFill="text1" w:themeFillTint="BF"/>
          </w:tcPr>
          <w:p w:rsidR="00A2360D" w:rsidRPr="007715DC" w:rsidRDefault="00A2360D" w:rsidP="00A2360D">
            <w:pPr>
              <w:spacing w:line="276" w:lineRule="auto"/>
              <w:ind w:hanging="2"/>
              <w:jc w:val="center"/>
              <w:rPr>
                <w:rFonts w:ascii="Noto Sans" w:eastAsia="Times New Roman" w:hAnsi="Noto Sans" w:cs="Noto Sans"/>
                <w:color w:val="FFFFFF" w:themeColor="background1"/>
                <w:sz w:val="20"/>
                <w:szCs w:val="20"/>
              </w:rPr>
            </w:pPr>
            <w:r w:rsidRPr="007715DC">
              <w:rPr>
                <w:rFonts w:ascii="Noto Sans" w:eastAsia="Times New Roman" w:hAnsi="Noto Sans" w:cs="Noto Sans"/>
                <w:b/>
                <w:color w:val="FFFFFF" w:themeColor="background1"/>
                <w:sz w:val="20"/>
                <w:szCs w:val="20"/>
              </w:rPr>
              <w:t>Rango</w:t>
            </w:r>
          </w:p>
        </w:tc>
        <w:tc>
          <w:tcPr>
            <w:tcW w:w="2453" w:type="dxa"/>
            <w:shd w:val="clear" w:color="auto" w:fill="404040" w:themeFill="text1" w:themeFillTint="BF"/>
          </w:tcPr>
          <w:p w:rsidR="00A2360D" w:rsidRPr="007715DC" w:rsidRDefault="00A2360D" w:rsidP="00A2360D">
            <w:pPr>
              <w:spacing w:line="276" w:lineRule="auto"/>
              <w:ind w:hanging="2"/>
              <w:jc w:val="center"/>
              <w:rPr>
                <w:rFonts w:ascii="Noto Sans" w:eastAsia="Times New Roman" w:hAnsi="Noto Sans" w:cs="Noto Sans"/>
                <w:color w:val="FFFFFF" w:themeColor="background1"/>
                <w:sz w:val="20"/>
                <w:szCs w:val="20"/>
                <w:vertAlign w:val="superscript"/>
              </w:rPr>
            </w:pPr>
            <w:r w:rsidRPr="007715DC">
              <w:rPr>
                <w:rFonts w:ascii="Noto Sans" w:eastAsia="Times New Roman" w:hAnsi="Noto Sans" w:cs="Noto Sans"/>
                <w:b/>
                <w:color w:val="FFFFFF" w:themeColor="background1"/>
                <w:sz w:val="20"/>
                <w:szCs w:val="20"/>
              </w:rPr>
              <w:t>Ambos</w:t>
            </w:r>
            <w:r w:rsidRPr="007715DC">
              <w:rPr>
                <w:rFonts w:ascii="Noto Sans" w:eastAsia="Times New Roman" w:hAnsi="Noto Sans" w:cs="Noto Sans"/>
                <w:b/>
                <w:color w:val="FFFFFF" w:themeColor="background1"/>
                <w:sz w:val="20"/>
                <w:szCs w:val="20"/>
                <w:vertAlign w:val="superscript"/>
              </w:rPr>
              <w:t>1</w:t>
            </w:r>
          </w:p>
        </w:tc>
        <w:tc>
          <w:tcPr>
            <w:tcW w:w="2833" w:type="dxa"/>
            <w:shd w:val="clear" w:color="auto" w:fill="26642E"/>
          </w:tcPr>
          <w:p w:rsidR="00A2360D" w:rsidRPr="007715DC" w:rsidRDefault="00A2360D" w:rsidP="00A2360D">
            <w:pPr>
              <w:spacing w:line="276" w:lineRule="auto"/>
              <w:ind w:hanging="2"/>
              <w:jc w:val="center"/>
              <w:rPr>
                <w:rFonts w:ascii="Noto Sans" w:eastAsia="Times New Roman" w:hAnsi="Noto Sans" w:cs="Noto Sans"/>
                <w:color w:val="FFFFFF" w:themeColor="background1"/>
                <w:sz w:val="20"/>
                <w:szCs w:val="20"/>
              </w:rPr>
            </w:pPr>
            <w:r w:rsidRPr="007715DC">
              <w:rPr>
                <w:rFonts w:ascii="Noto Sans" w:eastAsia="Times New Roman" w:hAnsi="Noto Sans" w:cs="Noto Sans"/>
                <w:b/>
                <w:color w:val="FFFFFF" w:themeColor="background1"/>
                <w:sz w:val="20"/>
                <w:szCs w:val="20"/>
              </w:rPr>
              <w:t>Hombre</w:t>
            </w:r>
          </w:p>
        </w:tc>
        <w:tc>
          <w:tcPr>
            <w:tcW w:w="2683" w:type="dxa"/>
            <w:shd w:val="clear" w:color="auto" w:fill="9A0003"/>
          </w:tcPr>
          <w:p w:rsidR="00A2360D" w:rsidRPr="007715DC" w:rsidRDefault="00A2360D" w:rsidP="00A2360D">
            <w:pPr>
              <w:spacing w:line="276" w:lineRule="auto"/>
              <w:ind w:hanging="2"/>
              <w:jc w:val="center"/>
              <w:rPr>
                <w:rFonts w:ascii="Noto Sans" w:eastAsia="Times New Roman" w:hAnsi="Noto Sans" w:cs="Noto Sans"/>
                <w:color w:val="FFFFFF" w:themeColor="background1"/>
                <w:sz w:val="20"/>
                <w:szCs w:val="20"/>
              </w:rPr>
            </w:pPr>
            <w:r w:rsidRPr="007715DC">
              <w:rPr>
                <w:rFonts w:ascii="Noto Sans" w:eastAsia="Times New Roman" w:hAnsi="Noto Sans" w:cs="Noto Sans"/>
                <w:b/>
                <w:color w:val="FFFFFF" w:themeColor="background1"/>
                <w:sz w:val="20"/>
                <w:szCs w:val="20"/>
              </w:rPr>
              <w:t>Mujer</w:t>
            </w:r>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b/>
                <w:bCs/>
                <w:sz w:val="20"/>
                <w:szCs w:val="20"/>
              </w:rPr>
            </w:pPr>
            <w:r w:rsidRPr="007715DC">
              <w:rPr>
                <w:rFonts w:ascii="Noto Sans" w:eastAsia="Times New Roman" w:hAnsi="Noto Sans" w:cs="Noto Sans"/>
                <w:b/>
                <w:bCs/>
                <w:sz w:val="20"/>
                <w:szCs w:val="20"/>
              </w:rPr>
              <w:t>1</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Diabetes tipo 2</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Diabetes tipo 2</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Diabetes tipo 2</w:t>
            </w:r>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b/>
                <w:bCs/>
                <w:sz w:val="20"/>
                <w:szCs w:val="20"/>
              </w:rPr>
            </w:pPr>
            <w:r w:rsidRPr="007715DC">
              <w:rPr>
                <w:rFonts w:ascii="Noto Sans" w:eastAsia="Times New Roman" w:hAnsi="Noto Sans" w:cs="Noto Sans"/>
                <w:b/>
                <w:bCs/>
                <w:sz w:val="20"/>
                <w:szCs w:val="20"/>
              </w:rPr>
              <w:t>2</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 xml:space="preserve">Cardiopatías isquémicas </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 xml:space="preserve">Cardiopatías isquémicas </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Cardiopatías isquémicas</w:t>
            </w:r>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b/>
                <w:bCs/>
                <w:sz w:val="20"/>
                <w:szCs w:val="20"/>
              </w:rPr>
            </w:pPr>
            <w:r w:rsidRPr="007715DC">
              <w:rPr>
                <w:rFonts w:ascii="Noto Sans" w:eastAsia="Times New Roman" w:hAnsi="Noto Sans" w:cs="Noto Sans"/>
                <w:b/>
                <w:bCs/>
                <w:sz w:val="20"/>
                <w:szCs w:val="20"/>
              </w:rPr>
              <w:lastRenderedPageBreak/>
              <w:t>3</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 xml:space="preserve">Agresión – Arma de fuego </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 xml:space="preserve">Agresión – Arma de fuego </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Lumbalgia</w:t>
            </w:r>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b/>
                <w:bCs/>
                <w:sz w:val="20"/>
                <w:szCs w:val="20"/>
              </w:rPr>
            </w:pPr>
            <w:r w:rsidRPr="007715DC">
              <w:rPr>
                <w:rFonts w:ascii="Noto Sans" w:eastAsia="Times New Roman" w:hAnsi="Noto Sans" w:cs="Noto Sans"/>
                <w:b/>
                <w:bCs/>
                <w:sz w:val="20"/>
                <w:szCs w:val="20"/>
              </w:rPr>
              <w:t>4</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Otros trastornos musculoesqueléticos</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Cirrosis alcohol</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Otros trastornos musculoesqueléticos</w:t>
            </w:r>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b/>
                <w:bCs/>
                <w:sz w:val="20"/>
                <w:szCs w:val="20"/>
              </w:rPr>
            </w:pPr>
            <w:r w:rsidRPr="007715DC">
              <w:rPr>
                <w:rFonts w:ascii="Noto Sans" w:eastAsia="Times New Roman" w:hAnsi="Noto Sans" w:cs="Noto Sans"/>
                <w:b/>
                <w:bCs/>
                <w:sz w:val="20"/>
                <w:szCs w:val="20"/>
              </w:rPr>
              <w:t>5</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Lumbalgia</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Infecciones respiratorias bajas</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Depresión mayor</w:t>
            </w:r>
          </w:p>
        </w:tc>
      </w:tr>
      <w:tr w:rsidR="00A2360D" w:rsidRPr="007715DC" w:rsidTr="00A2360D">
        <w:trPr>
          <w:trHeight w:val="450"/>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b/>
                <w:bCs/>
                <w:sz w:val="20"/>
                <w:szCs w:val="20"/>
              </w:rPr>
            </w:pPr>
            <w:r w:rsidRPr="007715DC">
              <w:rPr>
                <w:rFonts w:ascii="Noto Sans" w:eastAsia="Times New Roman" w:hAnsi="Noto Sans" w:cs="Noto Sans"/>
                <w:b/>
                <w:bCs/>
                <w:sz w:val="20"/>
                <w:szCs w:val="20"/>
              </w:rPr>
              <w:t>6</w:t>
            </w:r>
          </w:p>
        </w:tc>
        <w:tc>
          <w:tcPr>
            <w:tcW w:w="2453" w:type="dxa"/>
          </w:tcPr>
          <w:p w:rsidR="00A2360D" w:rsidRPr="007715DC" w:rsidRDefault="00217656" w:rsidP="00A2360D">
            <w:pPr>
              <w:spacing w:line="276" w:lineRule="auto"/>
              <w:ind w:hanging="2"/>
              <w:jc w:val="center"/>
              <w:rPr>
                <w:rFonts w:ascii="Noto Sans" w:eastAsia="Times New Roman" w:hAnsi="Noto Sans" w:cs="Noto Sans"/>
                <w:sz w:val="20"/>
                <w:szCs w:val="20"/>
              </w:rPr>
            </w:pPr>
            <w:sdt>
              <w:sdtPr>
                <w:rPr>
                  <w:rFonts w:ascii="Noto Sans" w:hAnsi="Noto Sans" w:cs="Noto Sans"/>
                  <w:sz w:val="20"/>
                  <w:szCs w:val="20"/>
                </w:rPr>
                <w:tag w:val="goog_rdk_138"/>
                <w:id w:val="1488513423"/>
                <w:showingPlcHdr/>
              </w:sdtPr>
              <w:sdtEndPr/>
              <w:sdtContent>
                <w:r w:rsidR="00A2360D" w:rsidRPr="007715DC">
                  <w:rPr>
                    <w:rFonts w:ascii="Noto Sans" w:hAnsi="Noto Sans" w:cs="Noto Sans"/>
                    <w:sz w:val="20"/>
                    <w:szCs w:val="20"/>
                  </w:rPr>
                  <w:t xml:space="preserve">     </w:t>
                </w:r>
              </w:sdtContent>
            </w:sdt>
            <w:r w:rsidR="00A2360D" w:rsidRPr="007715DC">
              <w:rPr>
                <w:rFonts w:ascii="Noto Sans" w:eastAsia="Times New Roman" w:hAnsi="Noto Sans" w:cs="Noto Sans"/>
                <w:sz w:val="20"/>
                <w:szCs w:val="20"/>
              </w:rPr>
              <w:t>Depresión mayor</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Otros trastornos muculoesqueléticos</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 xml:space="preserve">Migraña </w:t>
            </w:r>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b/>
                <w:bCs/>
                <w:sz w:val="20"/>
                <w:szCs w:val="20"/>
              </w:rPr>
            </w:pPr>
            <w:r w:rsidRPr="007715DC">
              <w:rPr>
                <w:rFonts w:ascii="Noto Sans" w:eastAsia="Times New Roman" w:hAnsi="Noto Sans" w:cs="Noto Sans"/>
                <w:b/>
                <w:bCs/>
                <w:sz w:val="20"/>
                <w:szCs w:val="20"/>
              </w:rPr>
              <w:t>7</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Infecciones respiratorias bajas</w:t>
            </w:r>
            <w:sdt>
              <w:sdtPr>
                <w:rPr>
                  <w:rFonts w:ascii="Noto Sans" w:hAnsi="Noto Sans" w:cs="Noto Sans"/>
                  <w:sz w:val="20"/>
                  <w:szCs w:val="20"/>
                </w:rPr>
                <w:tag w:val="goog_rdk_146"/>
                <w:id w:val="1776518432"/>
              </w:sdtPr>
              <w:sdtEndPr/>
              <w:sdtContent/>
            </w:sdt>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Atropellamiento</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 xml:space="preserve">Otras pérdidas auditivas </w:t>
            </w:r>
          </w:p>
        </w:tc>
      </w:tr>
      <w:tr w:rsidR="00A2360D" w:rsidRPr="007715DC" w:rsidTr="00A2360D">
        <w:trPr>
          <w:trHeight w:val="516"/>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b/>
                <w:bCs/>
                <w:sz w:val="20"/>
                <w:szCs w:val="20"/>
              </w:rPr>
            </w:pPr>
            <w:r w:rsidRPr="007715DC">
              <w:rPr>
                <w:rFonts w:ascii="Noto Sans" w:eastAsia="Times New Roman" w:hAnsi="Noto Sans" w:cs="Noto Sans"/>
                <w:b/>
                <w:bCs/>
                <w:sz w:val="20"/>
                <w:szCs w:val="20"/>
              </w:rPr>
              <w:t>8</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Migraña</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 xml:space="preserve">Caídas </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Enfermedad Pulmonar Obstructiva Crónica</w:t>
            </w:r>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b/>
                <w:bCs/>
                <w:sz w:val="20"/>
                <w:szCs w:val="20"/>
              </w:rPr>
            </w:pPr>
            <w:r w:rsidRPr="007715DC">
              <w:rPr>
                <w:rFonts w:ascii="Noto Sans" w:eastAsia="Times New Roman" w:hAnsi="Noto Sans" w:cs="Noto Sans"/>
                <w:b/>
                <w:bCs/>
                <w:sz w:val="20"/>
                <w:szCs w:val="20"/>
              </w:rPr>
              <w:t>9</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Otras pérdidas auditivas</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Complicaciones de parto prematuro</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 xml:space="preserve">Enfermedad Renal Crónica por otras causas </w:t>
            </w:r>
          </w:p>
        </w:tc>
      </w:tr>
      <w:tr w:rsidR="00A2360D" w:rsidRPr="007715DC" w:rsidTr="00A2360D">
        <w:trPr>
          <w:trHeight w:val="516"/>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b/>
                <w:bCs/>
                <w:sz w:val="20"/>
                <w:szCs w:val="20"/>
              </w:rPr>
            </w:pPr>
            <w:r w:rsidRPr="007715DC">
              <w:rPr>
                <w:rFonts w:ascii="Noto Sans" w:eastAsia="Times New Roman" w:hAnsi="Noto Sans" w:cs="Noto Sans"/>
                <w:b/>
                <w:bCs/>
                <w:sz w:val="20"/>
                <w:szCs w:val="20"/>
              </w:rPr>
              <w:t>10</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Enfermedad Pulmonar Obstructiva Crónica</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Enfermedad Pulmonar Obstructiva Crónica</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 xml:space="preserve">Infecciones respiratorias bajas </w:t>
            </w:r>
          </w:p>
        </w:tc>
      </w:tr>
    </w:tbl>
    <w:p w:rsidR="00A2360D" w:rsidRDefault="00A2360D" w:rsidP="00A2360D">
      <w:pPr>
        <w:spacing w:before="60" w:line="360" w:lineRule="auto"/>
        <w:ind w:hanging="2"/>
        <w:jc w:val="both"/>
        <w:rPr>
          <w:rFonts w:ascii="Noto Sans" w:eastAsia="Times New Roman" w:hAnsi="Noto Sans" w:cs="Noto Sans"/>
          <w:i/>
          <w:sz w:val="16"/>
          <w:szCs w:val="20"/>
        </w:rPr>
      </w:pPr>
      <w:r w:rsidRPr="0047528A">
        <w:rPr>
          <w:rFonts w:ascii="Noto Sans" w:eastAsia="Times New Roman" w:hAnsi="Noto Sans" w:cs="Noto Sans"/>
          <w:i/>
          <w:sz w:val="16"/>
          <w:szCs w:val="20"/>
          <w:vertAlign w:val="superscript"/>
        </w:rPr>
        <w:t>1</w:t>
      </w:r>
      <w:r w:rsidRPr="0047528A">
        <w:rPr>
          <w:rFonts w:ascii="Noto Sans" w:eastAsia="Times New Roman" w:hAnsi="Noto Sans" w:cs="Noto Sans"/>
          <w:i/>
          <w:sz w:val="16"/>
          <w:szCs w:val="20"/>
        </w:rPr>
        <w:t>Nivel de desagregación 4</w:t>
      </w:r>
    </w:p>
    <w:p w:rsidR="00A2360D" w:rsidRPr="0047528A" w:rsidRDefault="00A2360D" w:rsidP="00A2360D">
      <w:pPr>
        <w:spacing w:before="60" w:line="360" w:lineRule="auto"/>
        <w:ind w:hanging="2"/>
        <w:jc w:val="both"/>
        <w:rPr>
          <w:rFonts w:ascii="Noto Sans" w:hAnsi="Noto Sans" w:cs="Noto Sans"/>
          <w:i/>
          <w:sz w:val="16"/>
          <w:szCs w:val="20"/>
        </w:rPr>
      </w:pPr>
      <w:r w:rsidRPr="0047528A">
        <w:rPr>
          <w:rFonts w:ascii="Noto Sans" w:eastAsia="Times New Roman" w:hAnsi="Noto Sans" w:cs="Noto Sans"/>
          <w:i/>
          <w:sz w:val="16"/>
          <w:szCs w:val="20"/>
        </w:rPr>
        <w:t xml:space="preserve">Fuente: Elaboración propia con datos del Global Burden Disease Compare. AVISA por 100,000 habitantes </w:t>
      </w:r>
      <w:sdt>
        <w:sdtPr>
          <w:rPr>
            <w:rFonts w:ascii="Noto Sans" w:eastAsia="Times New Roman" w:hAnsi="Noto Sans" w:cs="Noto Sans"/>
            <w:i/>
            <w:sz w:val="16"/>
            <w:szCs w:val="20"/>
          </w:rPr>
          <w:tag w:val="MENDELEY_CITATION_v3_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"/>
          <w:id w:val="622115248"/>
          <w:placeholder>
            <w:docPart w:val="EB6FDF2DB28C4606AB1FF3FCE8FCC5BD"/>
          </w:placeholder>
        </w:sdtPr>
        <w:sdtEndPr/>
        <w:sdtContent>
          <w:r w:rsidRPr="0047528A">
            <w:rPr>
              <w:rFonts w:ascii="Noto Sans" w:eastAsia="Times New Roman" w:hAnsi="Noto Sans" w:cs="Noto Sans"/>
              <w:i/>
              <w:sz w:val="16"/>
              <w:szCs w:val="20"/>
            </w:rPr>
            <w:t>[1]</w:t>
          </w:r>
        </w:sdtContent>
      </w:sdt>
      <w:r w:rsidRPr="0047528A">
        <w:rPr>
          <w:rFonts w:ascii="Noto Sans" w:eastAsia="Times New Roman" w:hAnsi="Noto Sans" w:cs="Noto Sans"/>
          <w:i/>
          <w:sz w:val="16"/>
          <w:szCs w:val="20"/>
        </w:rPr>
        <w:t>. Última actualización disponible: 2019</w:t>
      </w:r>
    </w:p>
    <w:p w:rsidR="00A2360D" w:rsidRPr="007715DC" w:rsidRDefault="00A2360D" w:rsidP="00A2360D">
      <w:pPr>
        <w:spacing w:before="120" w:after="120" w:line="276" w:lineRule="auto"/>
        <w:jc w:val="both"/>
        <w:rPr>
          <w:rFonts w:ascii="Noto Sans" w:hAnsi="Noto Sans" w:cs="Noto Sans"/>
          <w:sz w:val="20"/>
          <w:szCs w:val="20"/>
        </w:rPr>
      </w:pPr>
    </w:p>
    <w:p w:rsidR="00A2360D" w:rsidRPr="007715DC" w:rsidRDefault="00A2360D" w:rsidP="00A2360D">
      <w:pPr>
        <w:spacing w:before="120" w:after="120" w:line="276" w:lineRule="auto"/>
        <w:jc w:val="both"/>
        <w:rPr>
          <w:rFonts w:ascii="Noto Sans" w:hAnsi="Noto Sans" w:cs="Noto Sans"/>
          <w:sz w:val="20"/>
          <w:szCs w:val="20"/>
        </w:rPr>
      </w:pPr>
      <w:r w:rsidRPr="007715DC">
        <w:rPr>
          <w:rFonts w:ascii="Noto Sans" w:hAnsi="Noto Sans" w:cs="Noto Sans"/>
          <w:sz w:val="20"/>
          <w:szCs w:val="20"/>
        </w:rPr>
        <w:t>Al examinar la tasa de AVISA por cada 100 habitantes entre las distintas entidades, se destaca que estados como Chihuahua (32,949), Colima (30,355), Ciudad de México (30,224), Veracruz (29,401) y Guerrero (29,055) muestran los números más elevados. Este dato revela una preocupante situación epidemiológica en estas regiones, sugiriendo la necesidad de un análisis más detallado para comprender los factores subyacentes que contribuyen a esta tendencia (Figura 5).</w:t>
      </w:r>
    </w:p>
    <w:p w:rsidR="00A2360D" w:rsidRPr="007715DC" w:rsidRDefault="00A2360D" w:rsidP="00A2360D">
      <w:pPr>
        <w:spacing w:line="360" w:lineRule="auto"/>
        <w:ind w:hanging="2"/>
        <w:jc w:val="both"/>
        <w:rPr>
          <w:rFonts w:ascii="Noto Sans" w:eastAsia="Times New Roman" w:hAnsi="Noto Sans" w:cs="Noto Sans"/>
          <w:color w:val="000000"/>
          <w:sz w:val="20"/>
          <w:szCs w:val="20"/>
        </w:rPr>
      </w:pPr>
      <w:r w:rsidRPr="007715DC">
        <w:rPr>
          <w:rFonts w:ascii="Noto Sans" w:eastAsia="Times New Roman" w:hAnsi="Noto Sans" w:cs="Noto Sans"/>
          <w:b/>
          <w:color w:val="000000"/>
          <w:sz w:val="20"/>
          <w:szCs w:val="20"/>
        </w:rPr>
        <w:t>Figura 5.</w:t>
      </w:r>
      <w:r w:rsidRPr="007715DC">
        <w:rPr>
          <w:rFonts w:ascii="Noto Sans" w:eastAsia="Times New Roman" w:hAnsi="Noto Sans" w:cs="Noto Sans"/>
          <w:color w:val="000000"/>
          <w:sz w:val="20"/>
          <w:szCs w:val="20"/>
        </w:rPr>
        <w:t xml:space="preserve"> Tasa de </w:t>
      </w:r>
      <w:r w:rsidRPr="007715DC">
        <w:rPr>
          <w:rFonts w:ascii="Noto Sans" w:eastAsia="Times New Roman" w:hAnsi="Noto Sans" w:cs="Noto Sans"/>
          <w:sz w:val="20"/>
          <w:szCs w:val="20"/>
        </w:rPr>
        <w:t>años de vida ajustados por discapacidad por entidad federativa, México 2019</w:t>
      </w:r>
    </w:p>
    <w:p w:rsidR="00A2360D" w:rsidRPr="007715DC" w:rsidRDefault="00A2360D" w:rsidP="00A2360D">
      <w:pPr>
        <w:spacing w:line="360" w:lineRule="auto"/>
        <w:ind w:hanging="2"/>
        <w:jc w:val="center"/>
        <w:rPr>
          <w:rFonts w:ascii="Noto Sans" w:eastAsia="Times New Roman" w:hAnsi="Noto Sans" w:cs="Noto Sans"/>
          <w:color w:val="000000"/>
          <w:sz w:val="20"/>
          <w:szCs w:val="20"/>
        </w:rPr>
      </w:pPr>
      <w:r w:rsidRPr="007715DC">
        <w:rPr>
          <w:rFonts w:ascii="Noto Sans" w:eastAsia="Times New Roman" w:hAnsi="Noto Sans" w:cs="Noto Sans"/>
          <w:b/>
          <w:noProof/>
          <w:color w:val="000000"/>
          <w:sz w:val="20"/>
          <w:szCs w:val="20"/>
          <w:lang w:val="en-US" w:eastAsia="en-US"/>
        </w:rPr>
        <w:lastRenderedPageBreak/>
        <w:drawing>
          <wp:inline distT="0" distB="0" distL="114300" distR="114300" wp14:anchorId="21A999F9" wp14:editId="0284AFF1">
            <wp:extent cx="4509770" cy="2976880"/>
            <wp:effectExtent l="0" t="0" r="0" b="0"/>
            <wp:docPr id="103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4509770" cy="2976880"/>
                    </a:xfrm>
                    <a:prstGeom prst="rect">
                      <a:avLst/>
                    </a:prstGeom>
                    <a:ln/>
                  </pic:spPr>
                </pic:pic>
              </a:graphicData>
            </a:graphic>
          </wp:inline>
        </w:drawing>
      </w:r>
    </w:p>
    <w:p w:rsidR="00A2360D" w:rsidRPr="0047528A" w:rsidRDefault="00A2360D" w:rsidP="00A2360D">
      <w:pPr>
        <w:spacing w:before="60" w:line="360" w:lineRule="auto"/>
        <w:ind w:hanging="2"/>
        <w:jc w:val="both"/>
        <w:rPr>
          <w:rFonts w:ascii="Noto Sans" w:eastAsia="Times New Roman" w:hAnsi="Noto Sans" w:cs="Noto Sans"/>
          <w:i/>
          <w:sz w:val="16"/>
          <w:szCs w:val="20"/>
        </w:rPr>
      </w:pPr>
      <w:r w:rsidRPr="0047528A">
        <w:rPr>
          <w:rFonts w:ascii="Noto Sans" w:eastAsia="Times New Roman" w:hAnsi="Noto Sans" w:cs="Noto Sans"/>
          <w:i/>
          <w:sz w:val="16"/>
          <w:szCs w:val="20"/>
        </w:rPr>
        <w:t xml:space="preserve">Fuente: Elaboración propia con datos del Global Burden Disease Compare. Tasa de AVISA por cada 100,000 habitantes </w:t>
      </w:r>
      <w:sdt>
        <w:sdtPr>
          <w:rPr>
            <w:rFonts w:ascii="Noto Sans" w:eastAsia="Times New Roman" w:hAnsi="Noto Sans" w:cs="Noto Sans"/>
            <w:i/>
            <w:sz w:val="16"/>
            <w:szCs w:val="20"/>
          </w:rPr>
          <w:tag w:val="MENDELEY_CITATION_v3_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"/>
          <w:id w:val="799962405"/>
          <w:placeholder>
            <w:docPart w:val="6AC8175624F641829169446BDAD2836D"/>
          </w:placeholder>
        </w:sdtPr>
        <w:sdtEndPr/>
        <w:sdtContent>
          <w:r w:rsidRPr="0047528A">
            <w:rPr>
              <w:rFonts w:ascii="Noto Sans" w:eastAsia="Times New Roman" w:hAnsi="Noto Sans" w:cs="Noto Sans"/>
              <w:i/>
              <w:sz w:val="16"/>
              <w:szCs w:val="20"/>
            </w:rPr>
            <w:t>[22]</w:t>
          </w:r>
        </w:sdtContent>
      </w:sdt>
      <w:r w:rsidRPr="0047528A">
        <w:rPr>
          <w:rFonts w:ascii="Noto Sans" w:eastAsia="Times New Roman" w:hAnsi="Noto Sans" w:cs="Noto Sans"/>
          <w:i/>
          <w:sz w:val="16"/>
          <w:szCs w:val="20"/>
        </w:rPr>
        <w:t>. Última actualización disponible: 2019.</w:t>
      </w:r>
    </w:p>
    <w:p w:rsidR="00A2360D" w:rsidRPr="007715DC" w:rsidRDefault="00A2360D" w:rsidP="00A2360D">
      <w:pPr>
        <w:spacing w:before="60"/>
        <w:ind w:hanging="2"/>
        <w:rPr>
          <w:rFonts w:ascii="Noto Sans" w:eastAsia="Times New Roman" w:hAnsi="Noto Sans" w:cs="Noto Sans"/>
          <w:color w:val="000000"/>
          <w:sz w:val="20"/>
          <w:szCs w:val="20"/>
          <w:vertAlign w:val="subscript"/>
        </w:rPr>
      </w:pPr>
    </w:p>
    <w:p w:rsidR="00A2360D" w:rsidRPr="007715DC" w:rsidRDefault="00A2360D" w:rsidP="00A2360D">
      <w:pPr>
        <w:spacing w:line="360" w:lineRule="auto"/>
        <w:ind w:hanging="2"/>
        <w:jc w:val="both"/>
        <w:rPr>
          <w:rFonts w:ascii="Noto Sans" w:eastAsia="Times New Roman" w:hAnsi="Noto Sans" w:cs="Noto Sans"/>
          <w:sz w:val="20"/>
          <w:szCs w:val="20"/>
        </w:rPr>
      </w:pPr>
      <w:r w:rsidRPr="007715DC">
        <w:rPr>
          <w:rFonts w:ascii="Noto Sans" w:eastAsia="Times New Roman" w:hAnsi="Noto Sans" w:cs="Noto Sans"/>
          <w:sz w:val="20"/>
          <w:szCs w:val="20"/>
        </w:rPr>
        <w:t>En cuanto a los años de vida asociados a discapacidad (AVAD)</w:t>
      </w:r>
      <w:sdt>
        <w:sdtPr>
          <w:rPr>
            <w:rFonts w:ascii="Noto Sans" w:hAnsi="Noto Sans" w:cs="Noto Sans"/>
            <w:sz w:val="20"/>
            <w:szCs w:val="20"/>
          </w:rPr>
          <w:tag w:val="goog_rdk_154"/>
          <w:id w:val="-2025315429"/>
        </w:sdtPr>
        <w:sdtEndPr/>
        <w:sdtContent>
          <w:r w:rsidRPr="007715DC">
            <w:rPr>
              <w:rFonts w:ascii="Noto Sans" w:eastAsia="Times New Roman" w:hAnsi="Noto Sans" w:cs="Noto Sans"/>
              <w:sz w:val="20"/>
              <w:szCs w:val="20"/>
            </w:rPr>
            <w:t>,</w:t>
          </w:r>
        </w:sdtContent>
      </w:sdt>
      <w:r w:rsidRPr="007715DC">
        <w:rPr>
          <w:rFonts w:ascii="Noto Sans" w:eastAsia="Times New Roman" w:hAnsi="Noto Sans" w:cs="Noto Sans"/>
          <w:sz w:val="20"/>
          <w:szCs w:val="20"/>
        </w:rPr>
        <w:t xml:space="preserve"> estimados a partir del número de años perdidos debido a enfermedad, discapacidad o muerte prematura</w:t>
      </w:r>
      <w:sdt>
        <w:sdtPr>
          <w:rPr>
            <w:rFonts w:ascii="Noto Sans" w:hAnsi="Noto Sans" w:cs="Noto Sans"/>
            <w:sz w:val="20"/>
            <w:szCs w:val="20"/>
          </w:rPr>
          <w:tag w:val="goog_rdk_156"/>
          <w:id w:val="185346258"/>
        </w:sdtPr>
        <w:sdtEndPr/>
        <w:sdtContent>
          <w:r w:rsidRPr="007715DC">
            <w:rPr>
              <w:rFonts w:ascii="Noto Sans" w:eastAsia="Times New Roman" w:hAnsi="Noto Sans" w:cs="Noto Sans"/>
              <w:sz w:val="20"/>
              <w:szCs w:val="20"/>
            </w:rPr>
            <w:t>,</w:t>
          </w:r>
        </w:sdtContent>
      </w:sdt>
      <w:sdt>
        <w:sdtPr>
          <w:rPr>
            <w:rFonts w:ascii="Noto Sans" w:hAnsi="Noto Sans" w:cs="Noto Sans"/>
            <w:sz w:val="20"/>
            <w:szCs w:val="20"/>
          </w:rPr>
          <w:tag w:val="goog_rdk_157"/>
          <w:id w:val="1449816007"/>
        </w:sdtPr>
        <w:sdtEndPr/>
        <w:sdtContent>
          <w:r w:rsidRPr="007715DC">
            <w:rPr>
              <w:rFonts w:ascii="Noto Sans" w:hAnsi="Noto Sans" w:cs="Noto Sans"/>
              <w:sz w:val="20"/>
              <w:szCs w:val="20"/>
            </w:rPr>
            <w:t xml:space="preserve"> </w:t>
          </w:r>
        </w:sdtContent>
      </w:sdt>
      <w:r w:rsidRPr="007715DC">
        <w:rPr>
          <w:rFonts w:ascii="Noto Sans" w:eastAsia="Times New Roman" w:hAnsi="Noto Sans" w:cs="Noto Sans"/>
          <w:sz w:val="20"/>
          <w:szCs w:val="20"/>
        </w:rPr>
        <w:t xml:space="preserve">a nivel nacional en 2019, la principal causa de AVAD fue la diabetes </w:t>
      </w:r>
      <w:sdt>
        <w:sdtPr>
          <w:rPr>
            <w:rFonts w:ascii="Noto Sans" w:hAnsi="Noto Sans" w:cs="Noto Sans"/>
            <w:sz w:val="20"/>
            <w:szCs w:val="20"/>
          </w:rPr>
          <w:tag w:val="goog_rdk_162"/>
          <w:id w:val="-1798518605"/>
        </w:sdtPr>
        <w:sdtEndPr/>
        <w:sdtContent>
          <w:r w:rsidRPr="007715DC">
            <w:rPr>
              <w:rFonts w:ascii="Noto Sans" w:eastAsia="Times New Roman" w:hAnsi="Noto Sans" w:cs="Noto Sans"/>
              <w:sz w:val="20"/>
              <w:szCs w:val="20"/>
            </w:rPr>
            <w:t xml:space="preserve">mellitus </w:t>
          </w:r>
        </w:sdtContent>
      </w:sdt>
      <w:r w:rsidRPr="007715DC">
        <w:rPr>
          <w:rFonts w:ascii="Noto Sans" w:eastAsia="Times New Roman" w:hAnsi="Noto Sans" w:cs="Noto Sans"/>
          <w:sz w:val="20"/>
          <w:szCs w:val="20"/>
        </w:rPr>
        <w:t>tipo 2, seguida de la lumbalgia y</w:t>
      </w:r>
      <w:sdt>
        <w:sdtPr>
          <w:rPr>
            <w:rFonts w:ascii="Noto Sans" w:hAnsi="Noto Sans" w:cs="Noto Sans"/>
            <w:sz w:val="20"/>
            <w:szCs w:val="20"/>
          </w:rPr>
          <w:tag w:val="goog_rdk_163"/>
          <w:id w:val="-782874354"/>
        </w:sdtPr>
        <w:sdtEndPr/>
        <w:sdtContent>
          <w:r w:rsidRPr="007715DC">
            <w:rPr>
              <w:rFonts w:ascii="Noto Sans" w:eastAsia="Times New Roman" w:hAnsi="Noto Sans" w:cs="Noto Sans"/>
              <w:sz w:val="20"/>
              <w:szCs w:val="20"/>
            </w:rPr>
            <w:t xml:space="preserve"> de</w:t>
          </w:r>
        </w:sdtContent>
      </w:sdt>
      <w:r w:rsidRPr="007715DC">
        <w:rPr>
          <w:rFonts w:ascii="Noto Sans" w:eastAsia="Times New Roman" w:hAnsi="Noto Sans" w:cs="Noto Sans"/>
          <w:sz w:val="20"/>
          <w:szCs w:val="20"/>
        </w:rPr>
        <w:t xml:space="preserve"> los </w:t>
      </w:r>
      <w:sdt>
        <w:sdtPr>
          <w:rPr>
            <w:rFonts w:ascii="Noto Sans" w:hAnsi="Noto Sans" w:cs="Noto Sans"/>
            <w:sz w:val="20"/>
            <w:szCs w:val="20"/>
          </w:rPr>
          <w:tag w:val="goog_rdk_164"/>
          <w:id w:val="-321282072"/>
        </w:sdtPr>
        <w:sdtEndPr/>
        <w:sdtContent>
          <w:r w:rsidRPr="007715DC">
            <w:rPr>
              <w:rFonts w:ascii="Noto Sans" w:eastAsia="Times New Roman" w:hAnsi="Noto Sans" w:cs="Noto Sans"/>
              <w:sz w:val="20"/>
              <w:szCs w:val="20"/>
            </w:rPr>
            <w:t>desórdenes</w:t>
          </w:r>
        </w:sdtContent>
      </w:sdt>
      <w:r w:rsidRPr="007715DC">
        <w:rPr>
          <w:rFonts w:ascii="Noto Sans" w:eastAsia="Times New Roman" w:hAnsi="Noto Sans" w:cs="Noto Sans"/>
          <w:sz w:val="20"/>
          <w:szCs w:val="20"/>
        </w:rPr>
        <w:t xml:space="preserve"> </w:t>
      </w:r>
      <w:sdt>
        <w:sdtPr>
          <w:rPr>
            <w:rFonts w:ascii="Noto Sans" w:hAnsi="Noto Sans" w:cs="Noto Sans"/>
            <w:sz w:val="20"/>
            <w:szCs w:val="20"/>
          </w:rPr>
          <w:tag w:val="goog_rdk_166"/>
          <w:id w:val="-128627179"/>
        </w:sdtPr>
        <w:sdtEndPr/>
        <w:sdtContent>
          <w:r w:rsidRPr="007715DC">
            <w:rPr>
              <w:rFonts w:ascii="Noto Sans" w:eastAsia="Times New Roman" w:hAnsi="Noto Sans" w:cs="Noto Sans"/>
              <w:sz w:val="20"/>
              <w:szCs w:val="20"/>
            </w:rPr>
            <w:t>musculoesqueléticos</w:t>
          </w:r>
        </w:sdtContent>
      </w:sdt>
      <w:r w:rsidRPr="007715DC">
        <w:rPr>
          <w:rFonts w:ascii="Noto Sans" w:eastAsia="Times New Roman" w:hAnsi="Noto Sans" w:cs="Noto Sans"/>
          <w:sz w:val="20"/>
          <w:szCs w:val="20"/>
        </w:rPr>
        <w:t xml:space="preserve">. Este panorama fue similar en el grupo de mujeres. Mientras que en hombres, las pérdidas auditivas fueron consideradas la </w:t>
      </w:r>
      <w:sdt>
        <w:sdtPr>
          <w:rPr>
            <w:rFonts w:ascii="Noto Sans" w:hAnsi="Noto Sans" w:cs="Noto Sans"/>
            <w:sz w:val="20"/>
            <w:szCs w:val="20"/>
          </w:rPr>
          <w:tag w:val="goog_rdk_168"/>
          <w:id w:val="-606270965"/>
        </w:sdtPr>
        <w:sdtEndPr/>
        <w:sdtContent>
          <w:r w:rsidRPr="007715DC">
            <w:rPr>
              <w:rFonts w:ascii="Noto Sans" w:eastAsia="Times New Roman" w:hAnsi="Noto Sans" w:cs="Noto Sans"/>
              <w:sz w:val="20"/>
              <w:szCs w:val="20"/>
            </w:rPr>
            <w:t>tercera</w:t>
          </w:r>
        </w:sdtContent>
      </w:sdt>
      <w:sdt>
        <w:sdtPr>
          <w:rPr>
            <w:rFonts w:ascii="Noto Sans" w:hAnsi="Noto Sans" w:cs="Noto Sans"/>
            <w:sz w:val="20"/>
            <w:szCs w:val="20"/>
          </w:rPr>
          <w:tag w:val="goog_rdk_169"/>
          <w:id w:val="-1983073394"/>
          <w:showingPlcHdr/>
        </w:sdtPr>
        <w:sdtEndPr/>
        <w:sdtContent>
          <w:r w:rsidRPr="007715DC">
            <w:rPr>
              <w:rFonts w:ascii="Noto Sans" w:hAnsi="Noto Sans" w:cs="Noto Sans"/>
              <w:sz w:val="20"/>
              <w:szCs w:val="20"/>
            </w:rPr>
            <w:t xml:space="preserve">     </w:t>
          </w:r>
        </w:sdtContent>
      </w:sdt>
      <w:r w:rsidRPr="007715DC">
        <w:rPr>
          <w:rFonts w:ascii="Noto Sans" w:eastAsia="Times New Roman" w:hAnsi="Noto Sans" w:cs="Noto Sans"/>
          <w:sz w:val="20"/>
          <w:szCs w:val="20"/>
        </w:rPr>
        <w:t xml:space="preserve"> causa de AVAD (</w:t>
      </w:r>
      <w:r w:rsidRPr="007715DC">
        <w:rPr>
          <w:rFonts w:ascii="Noto Sans" w:eastAsia="Times New Roman" w:hAnsi="Noto Sans" w:cs="Noto Sans"/>
          <w:b/>
          <w:bCs/>
          <w:sz w:val="20"/>
          <w:szCs w:val="20"/>
        </w:rPr>
        <w:t>Tabla 8</w:t>
      </w:r>
      <w:r w:rsidRPr="007715DC">
        <w:rPr>
          <w:rFonts w:ascii="Noto Sans" w:eastAsia="Times New Roman" w:hAnsi="Noto Sans" w:cs="Noto Sans"/>
          <w:sz w:val="20"/>
          <w:szCs w:val="20"/>
        </w:rPr>
        <w:t>)</w:t>
      </w:r>
      <w:r w:rsidRPr="007715DC">
        <w:rPr>
          <w:rFonts w:ascii="Noto Sans" w:hAnsi="Noto Sans" w:cs="Noto Sans"/>
          <w:color w:val="000000" w:themeColor="text1"/>
          <w:sz w:val="20"/>
          <w:szCs w:val="20"/>
        </w:rPr>
        <w:t>.</w:t>
      </w:r>
    </w:p>
    <w:p w:rsidR="00A2360D" w:rsidRPr="007715DC" w:rsidRDefault="00A2360D" w:rsidP="00A2360D">
      <w:pPr>
        <w:spacing w:before="60" w:line="360" w:lineRule="auto"/>
        <w:ind w:hanging="2"/>
        <w:rPr>
          <w:rFonts w:ascii="Noto Sans" w:eastAsia="Times New Roman" w:hAnsi="Noto Sans" w:cs="Noto Sans"/>
          <w:color w:val="000000"/>
          <w:sz w:val="20"/>
          <w:szCs w:val="20"/>
        </w:rPr>
      </w:pPr>
    </w:p>
    <w:p w:rsidR="00A2360D" w:rsidRPr="007715DC" w:rsidRDefault="00A2360D" w:rsidP="00A2360D">
      <w:pPr>
        <w:spacing w:line="360" w:lineRule="auto"/>
        <w:ind w:hanging="2"/>
        <w:jc w:val="both"/>
        <w:rPr>
          <w:rFonts w:ascii="Noto Sans" w:eastAsia="Times New Roman" w:hAnsi="Noto Sans" w:cs="Noto Sans"/>
          <w:sz w:val="20"/>
          <w:szCs w:val="20"/>
        </w:rPr>
      </w:pPr>
      <w:r w:rsidRPr="007715DC">
        <w:rPr>
          <w:rFonts w:ascii="Noto Sans" w:eastAsia="Times New Roman" w:hAnsi="Noto Sans" w:cs="Noto Sans"/>
          <w:b/>
          <w:sz w:val="20"/>
          <w:szCs w:val="20"/>
        </w:rPr>
        <w:t>Tabla 8.</w:t>
      </w:r>
      <w:r w:rsidRPr="007715DC">
        <w:rPr>
          <w:rFonts w:ascii="Noto Sans" w:eastAsia="Times New Roman" w:hAnsi="Noto Sans" w:cs="Noto Sans"/>
          <w:sz w:val="20"/>
          <w:szCs w:val="20"/>
        </w:rPr>
        <w:t xml:space="preserve"> Años de vida asociados a discapacidad en México</w:t>
      </w:r>
      <w:sdt>
        <w:sdtPr>
          <w:rPr>
            <w:rFonts w:ascii="Noto Sans" w:hAnsi="Noto Sans" w:cs="Noto Sans"/>
            <w:sz w:val="20"/>
            <w:szCs w:val="20"/>
          </w:rPr>
          <w:tag w:val="goog_rdk_170"/>
          <w:id w:val="-1332219311"/>
        </w:sdtPr>
        <w:sdtEndPr/>
        <w:sdtContent>
          <w:r w:rsidRPr="007715DC">
            <w:rPr>
              <w:rFonts w:ascii="Noto Sans" w:eastAsia="Times New Roman" w:hAnsi="Noto Sans" w:cs="Noto Sans"/>
              <w:sz w:val="20"/>
              <w:szCs w:val="20"/>
            </w:rPr>
            <w:t xml:space="preserve">, </w:t>
          </w:r>
        </w:sdtContent>
      </w:sdt>
      <w:r w:rsidRPr="007715DC">
        <w:rPr>
          <w:rFonts w:ascii="Noto Sans" w:eastAsia="Times New Roman" w:hAnsi="Noto Sans" w:cs="Noto Sans"/>
          <w:sz w:val="20"/>
          <w:szCs w:val="20"/>
        </w:rPr>
        <w:t>por sexo, 2019</w:t>
      </w:r>
    </w:p>
    <w:tbl>
      <w:tblPr>
        <w:tblW w:w="883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4"/>
        <w:gridCol w:w="2453"/>
        <w:gridCol w:w="2833"/>
        <w:gridCol w:w="2683"/>
      </w:tblGrid>
      <w:tr w:rsidR="00A2360D" w:rsidRPr="007715DC" w:rsidTr="00A2360D">
        <w:trPr>
          <w:trHeight w:val="173"/>
          <w:tblHeader/>
        </w:trPr>
        <w:tc>
          <w:tcPr>
            <w:tcW w:w="864" w:type="dxa"/>
            <w:shd w:val="clear" w:color="auto" w:fill="404040" w:themeFill="text1" w:themeFillTint="BF"/>
          </w:tcPr>
          <w:p w:rsidR="00A2360D" w:rsidRPr="007715DC" w:rsidRDefault="00A2360D" w:rsidP="00A2360D">
            <w:pPr>
              <w:spacing w:line="276" w:lineRule="auto"/>
              <w:ind w:hanging="2"/>
              <w:jc w:val="center"/>
              <w:rPr>
                <w:rFonts w:ascii="Noto Sans" w:eastAsia="Times New Roman" w:hAnsi="Noto Sans" w:cs="Noto Sans"/>
                <w:color w:val="FFFFFF" w:themeColor="background1"/>
                <w:sz w:val="20"/>
                <w:szCs w:val="20"/>
              </w:rPr>
            </w:pPr>
            <w:r w:rsidRPr="007715DC">
              <w:rPr>
                <w:rFonts w:ascii="Noto Sans" w:eastAsia="Times New Roman" w:hAnsi="Noto Sans" w:cs="Noto Sans"/>
                <w:b/>
                <w:color w:val="FFFFFF" w:themeColor="background1"/>
                <w:sz w:val="20"/>
                <w:szCs w:val="20"/>
              </w:rPr>
              <w:t>Rango</w:t>
            </w:r>
          </w:p>
        </w:tc>
        <w:tc>
          <w:tcPr>
            <w:tcW w:w="2453" w:type="dxa"/>
            <w:shd w:val="clear" w:color="auto" w:fill="404040" w:themeFill="text1" w:themeFillTint="BF"/>
          </w:tcPr>
          <w:p w:rsidR="00A2360D" w:rsidRPr="007715DC" w:rsidRDefault="00A2360D" w:rsidP="00A2360D">
            <w:pPr>
              <w:spacing w:line="276" w:lineRule="auto"/>
              <w:ind w:hanging="2"/>
              <w:jc w:val="center"/>
              <w:rPr>
                <w:rFonts w:ascii="Noto Sans" w:eastAsia="Times New Roman" w:hAnsi="Noto Sans" w:cs="Noto Sans"/>
                <w:color w:val="FFFFFF" w:themeColor="background1"/>
                <w:sz w:val="20"/>
                <w:szCs w:val="20"/>
                <w:vertAlign w:val="superscript"/>
              </w:rPr>
            </w:pPr>
            <w:r w:rsidRPr="007715DC">
              <w:rPr>
                <w:rFonts w:ascii="Noto Sans" w:eastAsia="Times New Roman" w:hAnsi="Noto Sans" w:cs="Noto Sans"/>
                <w:b/>
                <w:color w:val="FFFFFF" w:themeColor="background1"/>
                <w:sz w:val="20"/>
                <w:szCs w:val="20"/>
              </w:rPr>
              <w:t>Ambos</w:t>
            </w:r>
            <w:r w:rsidRPr="007715DC">
              <w:rPr>
                <w:rFonts w:ascii="Noto Sans" w:eastAsia="Times New Roman" w:hAnsi="Noto Sans" w:cs="Noto Sans"/>
                <w:b/>
                <w:color w:val="FFFFFF" w:themeColor="background1"/>
                <w:sz w:val="20"/>
                <w:szCs w:val="20"/>
                <w:vertAlign w:val="superscript"/>
              </w:rPr>
              <w:t>1</w:t>
            </w:r>
          </w:p>
        </w:tc>
        <w:tc>
          <w:tcPr>
            <w:tcW w:w="2833" w:type="dxa"/>
            <w:shd w:val="clear" w:color="auto" w:fill="26642E"/>
          </w:tcPr>
          <w:p w:rsidR="00A2360D" w:rsidRPr="007715DC" w:rsidRDefault="00A2360D" w:rsidP="00A2360D">
            <w:pPr>
              <w:spacing w:line="276" w:lineRule="auto"/>
              <w:ind w:hanging="2"/>
              <w:jc w:val="center"/>
              <w:rPr>
                <w:rFonts w:ascii="Noto Sans" w:eastAsia="Times New Roman" w:hAnsi="Noto Sans" w:cs="Noto Sans"/>
                <w:color w:val="FFFFFF" w:themeColor="background1"/>
                <w:sz w:val="20"/>
                <w:szCs w:val="20"/>
              </w:rPr>
            </w:pPr>
            <w:r w:rsidRPr="007715DC">
              <w:rPr>
                <w:rFonts w:ascii="Noto Sans" w:eastAsia="Times New Roman" w:hAnsi="Noto Sans" w:cs="Noto Sans"/>
                <w:b/>
                <w:color w:val="FFFFFF" w:themeColor="background1"/>
                <w:sz w:val="20"/>
                <w:szCs w:val="20"/>
              </w:rPr>
              <w:t>Hombre</w:t>
            </w:r>
          </w:p>
        </w:tc>
        <w:tc>
          <w:tcPr>
            <w:tcW w:w="2683" w:type="dxa"/>
            <w:shd w:val="clear" w:color="auto" w:fill="9A0003"/>
          </w:tcPr>
          <w:p w:rsidR="00A2360D" w:rsidRPr="007715DC" w:rsidRDefault="00A2360D" w:rsidP="00A2360D">
            <w:pPr>
              <w:spacing w:line="276" w:lineRule="auto"/>
              <w:ind w:hanging="2"/>
              <w:jc w:val="center"/>
              <w:rPr>
                <w:rFonts w:ascii="Noto Sans" w:eastAsia="Times New Roman" w:hAnsi="Noto Sans" w:cs="Noto Sans"/>
                <w:color w:val="FFFFFF" w:themeColor="background1"/>
                <w:sz w:val="20"/>
                <w:szCs w:val="20"/>
              </w:rPr>
            </w:pPr>
            <w:r w:rsidRPr="007715DC">
              <w:rPr>
                <w:rFonts w:ascii="Noto Sans" w:eastAsia="Times New Roman" w:hAnsi="Noto Sans" w:cs="Noto Sans"/>
                <w:b/>
                <w:color w:val="FFFFFF" w:themeColor="background1"/>
                <w:sz w:val="20"/>
                <w:szCs w:val="20"/>
              </w:rPr>
              <w:t>Mujer</w:t>
            </w:r>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sz w:val="20"/>
                <w:szCs w:val="20"/>
              </w:rPr>
            </w:pPr>
            <w:r w:rsidRPr="007715DC">
              <w:rPr>
                <w:rFonts w:ascii="Noto Sans" w:eastAsia="Times New Roman" w:hAnsi="Noto Sans" w:cs="Noto Sans"/>
                <w:sz w:val="20"/>
                <w:szCs w:val="20"/>
              </w:rPr>
              <w:t>1</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 xml:space="preserve">Diabetes </w:t>
            </w:r>
            <w:sdt>
              <w:sdtPr>
                <w:rPr>
                  <w:rFonts w:ascii="Noto Sans" w:hAnsi="Noto Sans" w:cs="Noto Sans"/>
                  <w:sz w:val="20"/>
                  <w:szCs w:val="20"/>
                </w:rPr>
                <w:tag w:val="goog_rdk_173"/>
                <w:id w:val="2134670857"/>
              </w:sdtPr>
              <w:sdtEndPr/>
              <w:sdtContent>
                <w:r w:rsidRPr="007715DC">
                  <w:rPr>
                    <w:rFonts w:ascii="Noto Sans" w:eastAsia="Times New Roman" w:hAnsi="Noto Sans" w:cs="Noto Sans"/>
                    <w:sz w:val="20"/>
                    <w:szCs w:val="20"/>
                  </w:rPr>
                  <w:t xml:space="preserve">mellitus </w:t>
                </w:r>
              </w:sdtContent>
            </w:sdt>
            <w:r w:rsidRPr="007715DC">
              <w:rPr>
                <w:rFonts w:ascii="Noto Sans" w:eastAsia="Times New Roman" w:hAnsi="Noto Sans" w:cs="Noto Sans"/>
                <w:sz w:val="20"/>
                <w:szCs w:val="20"/>
              </w:rPr>
              <w:t>tipo 2</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 xml:space="preserve">Diabetes </w:t>
            </w:r>
            <w:sdt>
              <w:sdtPr>
                <w:rPr>
                  <w:rFonts w:ascii="Noto Sans" w:hAnsi="Noto Sans" w:cs="Noto Sans"/>
                  <w:sz w:val="20"/>
                  <w:szCs w:val="20"/>
                </w:rPr>
                <w:tag w:val="goog_rdk_174"/>
                <w:id w:val="-1935043302"/>
              </w:sdtPr>
              <w:sdtEndPr/>
              <w:sdtContent>
                <w:r w:rsidRPr="007715DC">
                  <w:rPr>
                    <w:rFonts w:ascii="Noto Sans" w:eastAsia="Times New Roman" w:hAnsi="Noto Sans" w:cs="Noto Sans"/>
                    <w:sz w:val="20"/>
                    <w:szCs w:val="20"/>
                  </w:rPr>
                  <w:t xml:space="preserve">mellitus </w:t>
                </w:r>
              </w:sdtContent>
            </w:sdt>
            <w:r w:rsidRPr="007715DC">
              <w:rPr>
                <w:rFonts w:ascii="Noto Sans" w:eastAsia="Times New Roman" w:hAnsi="Noto Sans" w:cs="Noto Sans"/>
                <w:sz w:val="20"/>
                <w:szCs w:val="20"/>
              </w:rPr>
              <w:t>tipo 2</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Lumbalgia</w:t>
            </w:r>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sz w:val="20"/>
                <w:szCs w:val="20"/>
              </w:rPr>
            </w:pPr>
            <w:r w:rsidRPr="007715DC">
              <w:rPr>
                <w:rFonts w:ascii="Noto Sans" w:eastAsia="Times New Roman" w:hAnsi="Noto Sans" w:cs="Noto Sans"/>
                <w:sz w:val="20"/>
                <w:szCs w:val="20"/>
              </w:rPr>
              <w:t>2</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Lumbalgia</w:t>
            </w:r>
          </w:p>
        </w:tc>
        <w:tc>
          <w:tcPr>
            <w:tcW w:w="2833" w:type="dxa"/>
          </w:tcPr>
          <w:p w:rsidR="00A2360D" w:rsidRPr="007715DC" w:rsidRDefault="00217656" w:rsidP="00A2360D">
            <w:pPr>
              <w:spacing w:line="276" w:lineRule="auto"/>
              <w:ind w:hanging="2"/>
              <w:jc w:val="center"/>
              <w:rPr>
                <w:rFonts w:ascii="Noto Sans" w:eastAsia="Times New Roman" w:hAnsi="Noto Sans" w:cs="Noto Sans"/>
                <w:sz w:val="20"/>
                <w:szCs w:val="20"/>
              </w:rPr>
            </w:pPr>
            <w:sdt>
              <w:sdtPr>
                <w:rPr>
                  <w:rFonts w:ascii="Noto Sans" w:hAnsi="Noto Sans" w:cs="Noto Sans"/>
                  <w:sz w:val="20"/>
                  <w:szCs w:val="20"/>
                </w:rPr>
                <w:tag w:val="goog_rdk_176"/>
                <w:id w:val="1150174743"/>
              </w:sdtPr>
              <w:sdtEndPr/>
              <w:sdtContent>
                <w:r w:rsidR="00A2360D" w:rsidRPr="007715DC">
                  <w:rPr>
                    <w:rFonts w:ascii="Noto Sans" w:eastAsia="Times New Roman" w:hAnsi="Noto Sans" w:cs="Noto Sans"/>
                    <w:sz w:val="20"/>
                    <w:szCs w:val="20"/>
                  </w:rPr>
                  <w:t>Desórdenes</w:t>
                </w:r>
              </w:sdtContent>
            </w:sdt>
            <w:sdt>
              <w:sdtPr>
                <w:rPr>
                  <w:rFonts w:ascii="Noto Sans" w:hAnsi="Noto Sans" w:cs="Noto Sans"/>
                  <w:sz w:val="20"/>
                  <w:szCs w:val="20"/>
                </w:rPr>
                <w:tag w:val="goog_rdk_177"/>
                <w:id w:val="609167766"/>
                <w:showingPlcHdr/>
              </w:sdtPr>
              <w:sdtEndPr/>
              <w:sdtContent>
                <w:r w:rsidR="00A2360D" w:rsidRPr="007715DC">
                  <w:rPr>
                    <w:rFonts w:ascii="Noto Sans" w:hAnsi="Noto Sans" w:cs="Noto Sans"/>
                    <w:sz w:val="20"/>
                    <w:szCs w:val="20"/>
                  </w:rPr>
                  <w:t xml:space="preserve">     </w:t>
                </w:r>
              </w:sdtContent>
            </w:sdt>
            <w:r w:rsidR="00A2360D" w:rsidRPr="007715DC">
              <w:rPr>
                <w:rFonts w:ascii="Noto Sans" w:eastAsia="Times New Roman" w:hAnsi="Noto Sans" w:cs="Noto Sans"/>
                <w:sz w:val="20"/>
                <w:szCs w:val="20"/>
              </w:rPr>
              <w:t xml:space="preserve"> </w:t>
            </w:r>
            <w:sdt>
              <w:sdtPr>
                <w:rPr>
                  <w:rFonts w:ascii="Noto Sans" w:hAnsi="Noto Sans" w:cs="Noto Sans"/>
                  <w:sz w:val="20"/>
                  <w:szCs w:val="20"/>
                </w:rPr>
                <w:tag w:val="goog_rdk_178"/>
                <w:id w:val="-1655825864"/>
              </w:sdtPr>
              <w:sdtEndPr/>
              <w:sdtContent>
                <w:r w:rsidR="00A2360D" w:rsidRPr="007715DC">
                  <w:rPr>
                    <w:rFonts w:ascii="Noto Sans" w:eastAsia="Times New Roman" w:hAnsi="Noto Sans" w:cs="Noto Sans"/>
                    <w:sz w:val="20"/>
                    <w:szCs w:val="20"/>
                  </w:rPr>
                  <w:t>musculoesqueléticos</w:t>
                </w:r>
              </w:sdtContent>
            </w:sdt>
            <w:sdt>
              <w:sdtPr>
                <w:rPr>
                  <w:rFonts w:ascii="Noto Sans" w:hAnsi="Noto Sans" w:cs="Noto Sans"/>
                  <w:sz w:val="20"/>
                  <w:szCs w:val="20"/>
                </w:rPr>
                <w:tag w:val="goog_rdk_179"/>
                <w:id w:val="489529064"/>
                <w:showingPlcHdr/>
              </w:sdtPr>
              <w:sdtEndPr/>
              <w:sdtContent>
                <w:r w:rsidR="00A2360D" w:rsidRPr="007715DC">
                  <w:rPr>
                    <w:rFonts w:ascii="Noto Sans" w:hAnsi="Noto Sans" w:cs="Noto Sans"/>
                    <w:sz w:val="20"/>
                    <w:szCs w:val="20"/>
                  </w:rPr>
                  <w:t xml:space="preserve">     </w:t>
                </w:r>
              </w:sdtContent>
            </w:sdt>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Diabetes tipo 2</w:t>
            </w:r>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sz w:val="20"/>
                <w:szCs w:val="20"/>
              </w:rPr>
            </w:pPr>
            <w:r w:rsidRPr="007715DC">
              <w:rPr>
                <w:rFonts w:ascii="Noto Sans" w:eastAsia="Times New Roman" w:hAnsi="Noto Sans" w:cs="Noto Sans"/>
                <w:sz w:val="20"/>
                <w:szCs w:val="20"/>
              </w:rPr>
              <w:t>3</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 xml:space="preserve">Desordenes </w:t>
            </w:r>
            <w:sdt>
              <w:sdtPr>
                <w:rPr>
                  <w:rFonts w:ascii="Noto Sans" w:hAnsi="Noto Sans" w:cs="Noto Sans"/>
                  <w:sz w:val="20"/>
                  <w:szCs w:val="20"/>
                </w:rPr>
                <w:tag w:val="goog_rdk_180"/>
                <w:id w:val="910814947"/>
              </w:sdtPr>
              <w:sdtEndPr/>
              <w:sdtContent>
                <w:r w:rsidRPr="007715DC">
                  <w:rPr>
                    <w:rFonts w:ascii="Noto Sans" w:eastAsia="Times New Roman" w:hAnsi="Noto Sans" w:cs="Noto Sans"/>
                    <w:sz w:val="20"/>
                    <w:szCs w:val="20"/>
                  </w:rPr>
                  <w:t>musculoesqueléticos</w:t>
                </w:r>
              </w:sdtContent>
            </w:sdt>
            <w:sdt>
              <w:sdtPr>
                <w:rPr>
                  <w:rFonts w:ascii="Noto Sans" w:hAnsi="Noto Sans" w:cs="Noto Sans"/>
                  <w:sz w:val="20"/>
                  <w:szCs w:val="20"/>
                </w:rPr>
                <w:tag w:val="goog_rdk_181"/>
                <w:id w:val="-301936576"/>
                <w:showingPlcHdr/>
              </w:sdtPr>
              <w:sdtEndPr/>
              <w:sdtContent>
                <w:r w:rsidRPr="007715DC">
                  <w:rPr>
                    <w:rFonts w:ascii="Noto Sans" w:hAnsi="Noto Sans" w:cs="Noto Sans"/>
                    <w:sz w:val="20"/>
                    <w:szCs w:val="20"/>
                  </w:rPr>
                  <w:t xml:space="preserve">     </w:t>
                </w:r>
              </w:sdtContent>
            </w:sdt>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Pérdidas auditivas</w:t>
            </w:r>
          </w:p>
        </w:tc>
        <w:tc>
          <w:tcPr>
            <w:tcW w:w="2683" w:type="dxa"/>
          </w:tcPr>
          <w:p w:rsidR="00A2360D" w:rsidRPr="007715DC" w:rsidRDefault="00217656" w:rsidP="00A2360D">
            <w:pPr>
              <w:spacing w:line="276" w:lineRule="auto"/>
              <w:ind w:hanging="2"/>
              <w:jc w:val="center"/>
              <w:rPr>
                <w:rFonts w:ascii="Noto Sans" w:eastAsia="Times New Roman" w:hAnsi="Noto Sans" w:cs="Noto Sans"/>
                <w:sz w:val="20"/>
                <w:szCs w:val="20"/>
              </w:rPr>
            </w:pPr>
            <w:sdt>
              <w:sdtPr>
                <w:rPr>
                  <w:rFonts w:ascii="Noto Sans" w:hAnsi="Noto Sans" w:cs="Noto Sans"/>
                  <w:sz w:val="20"/>
                  <w:szCs w:val="20"/>
                </w:rPr>
                <w:tag w:val="goog_rdk_183"/>
                <w:id w:val="2127046908"/>
              </w:sdtPr>
              <w:sdtEndPr/>
              <w:sdtContent>
                <w:r w:rsidR="00A2360D" w:rsidRPr="007715DC">
                  <w:rPr>
                    <w:rFonts w:ascii="Noto Sans" w:eastAsia="Times New Roman" w:hAnsi="Noto Sans" w:cs="Noto Sans"/>
                    <w:sz w:val="20"/>
                    <w:szCs w:val="20"/>
                  </w:rPr>
                  <w:t>Desórdenes</w:t>
                </w:r>
              </w:sdtContent>
            </w:sdt>
            <w:sdt>
              <w:sdtPr>
                <w:rPr>
                  <w:rFonts w:ascii="Noto Sans" w:hAnsi="Noto Sans" w:cs="Noto Sans"/>
                  <w:sz w:val="20"/>
                  <w:szCs w:val="20"/>
                </w:rPr>
                <w:tag w:val="goog_rdk_184"/>
                <w:id w:val="-1599855582"/>
                <w:showingPlcHdr/>
              </w:sdtPr>
              <w:sdtEndPr/>
              <w:sdtContent>
                <w:r w:rsidR="00A2360D" w:rsidRPr="007715DC">
                  <w:rPr>
                    <w:rFonts w:ascii="Noto Sans" w:hAnsi="Noto Sans" w:cs="Noto Sans"/>
                    <w:sz w:val="20"/>
                    <w:szCs w:val="20"/>
                  </w:rPr>
                  <w:t xml:space="preserve">     </w:t>
                </w:r>
              </w:sdtContent>
            </w:sdt>
            <w:r w:rsidR="00A2360D" w:rsidRPr="007715DC">
              <w:rPr>
                <w:rFonts w:ascii="Noto Sans" w:eastAsia="Times New Roman" w:hAnsi="Noto Sans" w:cs="Noto Sans"/>
                <w:sz w:val="20"/>
                <w:szCs w:val="20"/>
              </w:rPr>
              <w:t xml:space="preserve"> </w:t>
            </w:r>
            <w:sdt>
              <w:sdtPr>
                <w:rPr>
                  <w:rFonts w:ascii="Noto Sans" w:hAnsi="Noto Sans" w:cs="Noto Sans"/>
                  <w:sz w:val="20"/>
                  <w:szCs w:val="20"/>
                </w:rPr>
                <w:tag w:val="goog_rdk_185"/>
                <w:id w:val="-1968116570"/>
              </w:sdtPr>
              <w:sdtEndPr/>
              <w:sdtContent>
                <w:r w:rsidR="00A2360D" w:rsidRPr="007715DC">
                  <w:rPr>
                    <w:rFonts w:ascii="Noto Sans" w:eastAsia="Times New Roman" w:hAnsi="Noto Sans" w:cs="Noto Sans"/>
                    <w:sz w:val="20"/>
                    <w:szCs w:val="20"/>
                  </w:rPr>
                  <w:t>musculoesqueléticos</w:t>
                </w:r>
              </w:sdtContent>
            </w:sdt>
            <w:sdt>
              <w:sdtPr>
                <w:rPr>
                  <w:rFonts w:ascii="Noto Sans" w:hAnsi="Noto Sans" w:cs="Noto Sans"/>
                  <w:sz w:val="20"/>
                  <w:szCs w:val="20"/>
                </w:rPr>
                <w:tag w:val="goog_rdk_186"/>
                <w:id w:val="-52615231"/>
                <w:showingPlcHdr/>
              </w:sdtPr>
              <w:sdtEndPr/>
              <w:sdtContent>
                <w:r w:rsidR="00A2360D" w:rsidRPr="007715DC">
                  <w:rPr>
                    <w:rFonts w:ascii="Noto Sans" w:hAnsi="Noto Sans" w:cs="Noto Sans"/>
                    <w:sz w:val="20"/>
                    <w:szCs w:val="20"/>
                  </w:rPr>
                  <w:t xml:space="preserve">     </w:t>
                </w:r>
              </w:sdtContent>
            </w:sdt>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sz w:val="20"/>
                <w:szCs w:val="20"/>
              </w:rPr>
            </w:pPr>
            <w:r w:rsidRPr="007715DC">
              <w:rPr>
                <w:rFonts w:ascii="Noto Sans" w:eastAsia="Times New Roman" w:hAnsi="Noto Sans" w:cs="Noto Sans"/>
                <w:sz w:val="20"/>
                <w:szCs w:val="20"/>
              </w:rPr>
              <w:t>4</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Depresión mayor</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Lumbalgia</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Depresión mayor</w:t>
            </w:r>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sz w:val="20"/>
                <w:szCs w:val="20"/>
              </w:rPr>
            </w:pPr>
            <w:r w:rsidRPr="007715DC">
              <w:rPr>
                <w:rFonts w:ascii="Noto Sans" w:eastAsia="Times New Roman" w:hAnsi="Noto Sans" w:cs="Noto Sans"/>
                <w:sz w:val="20"/>
                <w:szCs w:val="20"/>
              </w:rPr>
              <w:t>5</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Migraña</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Migraña</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Migraña</w:t>
            </w:r>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sz w:val="20"/>
                <w:szCs w:val="20"/>
              </w:rPr>
            </w:pPr>
            <w:r w:rsidRPr="007715DC">
              <w:rPr>
                <w:rFonts w:ascii="Noto Sans" w:eastAsia="Times New Roman" w:hAnsi="Noto Sans" w:cs="Noto Sans"/>
                <w:sz w:val="20"/>
                <w:szCs w:val="20"/>
              </w:rPr>
              <w:t>6</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Pérdidas auditivas</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Depresión mayor</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Pérdidas auditivas</w:t>
            </w:r>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sz w:val="20"/>
                <w:szCs w:val="20"/>
              </w:rPr>
            </w:pPr>
            <w:r w:rsidRPr="007715DC">
              <w:rPr>
                <w:rFonts w:ascii="Noto Sans" w:eastAsia="Times New Roman" w:hAnsi="Noto Sans" w:cs="Noto Sans"/>
                <w:sz w:val="20"/>
                <w:szCs w:val="20"/>
              </w:rPr>
              <w:lastRenderedPageBreak/>
              <w:t>7</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Trastorno de ansiedad</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Caídas</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Trastorno de ansiedad</w:t>
            </w:r>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sz w:val="20"/>
                <w:szCs w:val="20"/>
              </w:rPr>
            </w:pPr>
            <w:r w:rsidRPr="007715DC">
              <w:rPr>
                <w:rFonts w:ascii="Noto Sans" w:eastAsia="Times New Roman" w:hAnsi="Noto Sans" w:cs="Noto Sans"/>
                <w:sz w:val="20"/>
                <w:szCs w:val="20"/>
              </w:rPr>
              <w:t>8</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Caídas</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Trastorno de ansiedad</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Otros ginecológicos</w:t>
            </w:r>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sz w:val="20"/>
                <w:szCs w:val="20"/>
              </w:rPr>
            </w:pPr>
            <w:r w:rsidRPr="007715DC">
              <w:rPr>
                <w:rFonts w:ascii="Noto Sans" w:eastAsia="Times New Roman" w:hAnsi="Noto Sans" w:cs="Noto Sans"/>
                <w:sz w:val="20"/>
                <w:szCs w:val="20"/>
              </w:rPr>
              <w:t>9</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Trastorno bipolar</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Consumo de alcohol</w:t>
            </w:r>
          </w:p>
        </w:tc>
        <w:tc>
          <w:tcPr>
            <w:tcW w:w="2683" w:type="dxa"/>
          </w:tcPr>
          <w:p w:rsidR="00A2360D" w:rsidRPr="007715DC" w:rsidRDefault="00217656" w:rsidP="00A2360D">
            <w:pPr>
              <w:spacing w:line="276" w:lineRule="auto"/>
              <w:ind w:hanging="2"/>
              <w:jc w:val="center"/>
              <w:rPr>
                <w:rFonts w:ascii="Noto Sans" w:eastAsia="Times New Roman" w:hAnsi="Noto Sans" w:cs="Noto Sans"/>
                <w:sz w:val="20"/>
                <w:szCs w:val="20"/>
              </w:rPr>
            </w:pPr>
            <w:sdt>
              <w:sdtPr>
                <w:rPr>
                  <w:rFonts w:ascii="Noto Sans" w:hAnsi="Noto Sans" w:cs="Noto Sans"/>
                  <w:sz w:val="20"/>
                  <w:szCs w:val="20"/>
                </w:rPr>
                <w:tag w:val="goog_rdk_187"/>
                <w:id w:val="-1732227275"/>
                <w:showingPlcHdr/>
              </w:sdtPr>
              <w:sdtEndPr/>
              <w:sdtContent>
                <w:r w:rsidR="00A2360D" w:rsidRPr="007715DC">
                  <w:rPr>
                    <w:rFonts w:ascii="Noto Sans" w:hAnsi="Noto Sans" w:cs="Noto Sans"/>
                    <w:sz w:val="20"/>
                    <w:szCs w:val="20"/>
                  </w:rPr>
                  <w:t xml:space="preserve">     </w:t>
                </w:r>
              </w:sdtContent>
            </w:sdt>
            <w:r w:rsidR="00A2360D" w:rsidRPr="007715DC">
              <w:rPr>
                <w:rFonts w:ascii="Noto Sans" w:eastAsia="Times New Roman" w:hAnsi="Noto Sans" w:cs="Noto Sans"/>
                <w:sz w:val="20"/>
                <w:szCs w:val="20"/>
              </w:rPr>
              <w:t>Trastornos endócrinos, metabólicos, de sangre e inmunes</w:t>
            </w:r>
          </w:p>
        </w:tc>
      </w:tr>
      <w:tr w:rsidR="00A2360D" w:rsidRPr="007715DC" w:rsidTr="00A2360D">
        <w:trPr>
          <w:trHeight w:val="362"/>
        </w:trPr>
        <w:tc>
          <w:tcPr>
            <w:tcW w:w="864" w:type="dxa"/>
            <w:shd w:val="clear" w:color="auto" w:fill="D9D9D9" w:themeFill="background1" w:themeFillShade="D9"/>
          </w:tcPr>
          <w:p w:rsidR="00A2360D" w:rsidRPr="007715DC" w:rsidRDefault="00A2360D" w:rsidP="00A2360D">
            <w:pPr>
              <w:spacing w:line="276" w:lineRule="auto"/>
              <w:ind w:hanging="2"/>
              <w:rPr>
                <w:rFonts w:ascii="Noto Sans" w:eastAsia="Times New Roman" w:hAnsi="Noto Sans" w:cs="Noto Sans"/>
                <w:sz w:val="20"/>
                <w:szCs w:val="20"/>
              </w:rPr>
            </w:pPr>
            <w:r w:rsidRPr="007715DC">
              <w:rPr>
                <w:rFonts w:ascii="Noto Sans" w:eastAsia="Times New Roman" w:hAnsi="Noto Sans" w:cs="Noto Sans"/>
                <w:sz w:val="20"/>
                <w:szCs w:val="20"/>
              </w:rPr>
              <w:t>10</w:t>
            </w:r>
          </w:p>
        </w:tc>
        <w:tc>
          <w:tcPr>
            <w:tcW w:w="245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Esquizofrenia</w:t>
            </w:r>
          </w:p>
        </w:tc>
        <w:tc>
          <w:tcPr>
            <w:tcW w:w="283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Esquizofrenia</w:t>
            </w:r>
          </w:p>
        </w:tc>
        <w:tc>
          <w:tcPr>
            <w:tcW w:w="2683" w:type="dxa"/>
          </w:tcPr>
          <w:p w:rsidR="00A2360D" w:rsidRPr="007715DC" w:rsidRDefault="00A2360D" w:rsidP="00A2360D">
            <w:pPr>
              <w:spacing w:line="276" w:lineRule="auto"/>
              <w:ind w:hanging="2"/>
              <w:jc w:val="center"/>
              <w:rPr>
                <w:rFonts w:ascii="Noto Sans" w:eastAsia="Times New Roman" w:hAnsi="Noto Sans" w:cs="Noto Sans"/>
                <w:sz w:val="20"/>
                <w:szCs w:val="20"/>
              </w:rPr>
            </w:pPr>
            <w:r w:rsidRPr="007715DC">
              <w:rPr>
                <w:rFonts w:ascii="Noto Sans" w:eastAsia="Times New Roman" w:hAnsi="Noto Sans" w:cs="Noto Sans"/>
                <w:sz w:val="20"/>
                <w:szCs w:val="20"/>
              </w:rPr>
              <w:t>Trastorno bipolar</w:t>
            </w:r>
          </w:p>
        </w:tc>
      </w:tr>
    </w:tbl>
    <w:p w:rsidR="00A2360D" w:rsidRPr="0047528A" w:rsidRDefault="00A2360D" w:rsidP="00A2360D">
      <w:pPr>
        <w:ind w:hanging="2"/>
        <w:jc w:val="both"/>
        <w:rPr>
          <w:rFonts w:ascii="Noto Sans" w:eastAsia="Times New Roman" w:hAnsi="Noto Sans" w:cs="Noto Sans"/>
          <w:i/>
          <w:sz w:val="16"/>
          <w:szCs w:val="20"/>
        </w:rPr>
      </w:pPr>
      <w:r w:rsidRPr="0047528A">
        <w:rPr>
          <w:rFonts w:ascii="Noto Sans" w:eastAsia="Times New Roman" w:hAnsi="Noto Sans" w:cs="Noto Sans"/>
          <w:i/>
          <w:sz w:val="16"/>
          <w:szCs w:val="20"/>
          <w:vertAlign w:val="superscript"/>
        </w:rPr>
        <w:t>1</w:t>
      </w:r>
      <w:r w:rsidRPr="0047528A">
        <w:rPr>
          <w:rFonts w:ascii="Noto Sans" w:eastAsia="Times New Roman" w:hAnsi="Noto Sans" w:cs="Noto Sans"/>
          <w:i/>
          <w:sz w:val="16"/>
          <w:szCs w:val="20"/>
        </w:rPr>
        <w:t>Nivel de desagregación 4</w:t>
      </w:r>
    </w:p>
    <w:p w:rsidR="00A2360D" w:rsidRPr="0047528A" w:rsidRDefault="00A2360D" w:rsidP="00A2360D">
      <w:pPr>
        <w:ind w:hanging="2"/>
        <w:jc w:val="both"/>
        <w:rPr>
          <w:rFonts w:ascii="Noto Sans" w:eastAsia="Times New Roman" w:hAnsi="Noto Sans" w:cs="Noto Sans"/>
          <w:i/>
          <w:sz w:val="16"/>
          <w:szCs w:val="20"/>
        </w:rPr>
      </w:pPr>
      <w:r w:rsidRPr="0047528A">
        <w:rPr>
          <w:rFonts w:ascii="Noto Sans" w:eastAsia="Times New Roman" w:hAnsi="Noto Sans" w:cs="Noto Sans"/>
          <w:i/>
          <w:sz w:val="16"/>
          <w:szCs w:val="20"/>
        </w:rPr>
        <w:t xml:space="preserve">Fuente: Elaboración propia con datos del Global Burden Disease Compare. AVISA por 100,000 habitantes </w:t>
      </w:r>
      <w:sdt>
        <w:sdtPr>
          <w:rPr>
            <w:rFonts w:ascii="Noto Sans" w:eastAsia="Times New Roman" w:hAnsi="Noto Sans" w:cs="Noto Sans"/>
            <w:i/>
            <w:sz w:val="16"/>
            <w:szCs w:val="20"/>
          </w:rPr>
          <w:tag w:val="MENDELEY_CITATION_v3_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"/>
          <w:id w:val="1722083415"/>
          <w:placeholder>
            <w:docPart w:val="07838C6C1E85454BACD238817A1C0F6F"/>
          </w:placeholder>
        </w:sdtPr>
        <w:sdtEndPr/>
        <w:sdtContent>
          <w:r w:rsidRPr="0047528A">
            <w:rPr>
              <w:rFonts w:ascii="Noto Sans" w:eastAsia="Times New Roman" w:hAnsi="Noto Sans" w:cs="Noto Sans"/>
              <w:i/>
              <w:sz w:val="16"/>
              <w:szCs w:val="20"/>
            </w:rPr>
            <w:t>[23]</w:t>
          </w:r>
        </w:sdtContent>
      </w:sdt>
      <w:r w:rsidRPr="0047528A">
        <w:rPr>
          <w:rFonts w:ascii="Noto Sans" w:eastAsia="Times New Roman" w:hAnsi="Noto Sans" w:cs="Noto Sans"/>
          <w:i/>
          <w:sz w:val="16"/>
          <w:szCs w:val="20"/>
        </w:rPr>
        <w:t>. Última actualización disponible: 2019.</w:t>
      </w:r>
    </w:p>
    <w:p w:rsidR="00A2360D" w:rsidRPr="007715DC" w:rsidRDefault="00A2360D" w:rsidP="00A2360D">
      <w:pPr>
        <w:spacing w:line="360" w:lineRule="auto"/>
        <w:ind w:hanging="2"/>
        <w:jc w:val="both"/>
        <w:rPr>
          <w:rFonts w:ascii="Noto Sans" w:eastAsia="Times New Roman" w:hAnsi="Noto Sans" w:cs="Noto Sans"/>
          <w:color w:val="000000"/>
          <w:sz w:val="20"/>
          <w:szCs w:val="20"/>
        </w:rPr>
      </w:pPr>
    </w:p>
    <w:p w:rsidR="00A2360D" w:rsidRPr="007715DC" w:rsidRDefault="00A2360D" w:rsidP="00A2360D">
      <w:pPr>
        <w:spacing w:line="360" w:lineRule="auto"/>
        <w:ind w:hanging="2"/>
        <w:jc w:val="both"/>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Al analizar la tasa de AVAD, entidades como Ciudad de México (12,190), Veracruz (11,364), Chihuahua (10,962), Colima (10,909) y Morelos (10,846) son quienes presenta</w:t>
      </w:r>
      <w:sdt>
        <w:sdtPr>
          <w:rPr>
            <w:rFonts w:ascii="Noto Sans" w:hAnsi="Noto Sans" w:cs="Noto Sans"/>
            <w:sz w:val="20"/>
            <w:szCs w:val="20"/>
          </w:rPr>
          <w:tag w:val="goog_rdk_194"/>
          <w:id w:val="-370612279"/>
        </w:sdtPr>
        <w:sdtEndPr/>
        <w:sdtContent>
          <w:r w:rsidRPr="007715DC">
            <w:rPr>
              <w:rFonts w:ascii="Noto Sans" w:eastAsia="Times New Roman" w:hAnsi="Noto Sans" w:cs="Noto Sans"/>
              <w:color w:val="000000"/>
              <w:sz w:val="20"/>
              <w:szCs w:val="20"/>
            </w:rPr>
            <w:t>ron</w:t>
          </w:r>
        </w:sdtContent>
      </w:sdt>
      <w:r w:rsidRPr="007715DC">
        <w:rPr>
          <w:rFonts w:ascii="Noto Sans" w:eastAsia="Times New Roman" w:hAnsi="Noto Sans" w:cs="Noto Sans"/>
          <w:color w:val="000000"/>
          <w:sz w:val="20"/>
          <w:szCs w:val="20"/>
        </w:rPr>
        <w:t xml:space="preserve"> la mayor carga de años perdidos durante 2019 (</w:t>
      </w:r>
      <w:r w:rsidRPr="007715DC">
        <w:rPr>
          <w:rFonts w:ascii="Noto Sans" w:eastAsia="Times New Roman" w:hAnsi="Noto Sans" w:cs="Noto Sans"/>
          <w:b/>
          <w:bCs/>
          <w:color w:val="000000"/>
          <w:sz w:val="20"/>
          <w:szCs w:val="20"/>
        </w:rPr>
        <w:t>Figura 6</w:t>
      </w:r>
      <w:r w:rsidRPr="007715DC">
        <w:rPr>
          <w:rFonts w:ascii="Noto Sans" w:hAnsi="Noto Sans" w:cs="Noto Sans"/>
          <w:color w:val="000000"/>
          <w:sz w:val="20"/>
          <w:szCs w:val="20"/>
        </w:rPr>
        <w:t>)</w:t>
      </w:r>
      <w:r w:rsidRPr="007715DC">
        <w:rPr>
          <w:rFonts w:ascii="Noto Sans" w:eastAsia="Times New Roman" w:hAnsi="Noto Sans" w:cs="Noto Sans"/>
          <w:color w:val="000000"/>
          <w:sz w:val="20"/>
          <w:szCs w:val="20"/>
        </w:rPr>
        <w:t>.</w:t>
      </w:r>
    </w:p>
    <w:p w:rsidR="00A2360D" w:rsidRPr="007715DC" w:rsidRDefault="00A2360D" w:rsidP="00A2360D">
      <w:pPr>
        <w:spacing w:line="360" w:lineRule="auto"/>
        <w:ind w:hanging="2"/>
        <w:jc w:val="both"/>
        <w:rPr>
          <w:rFonts w:ascii="Noto Sans" w:eastAsia="Times New Roman" w:hAnsi="Noto Sans" w:cs="Noto Sans"/>
          <w:b/>
          <w:color w:val="000000"/>
          <w:sz w:val="20"/>
          <w:szCs w:val="20"/>
        </w:rPr>
      </w:pPr>
    </w:p>
    <w:p w:rsidR="00A2360D" w:rsidRPr="007715DC" w:rsidRDefault="00A2360D" w:rsidP="00A2360D">
      <w:pPr>
        <w:spacing w:line="360" w:lineRule="auto"/>
        <w:ind w:hanging="2"/>
        <w:jc w:val="both"/>
        <w:rPr>
          <w:rFonts w:ascii="Noto Sans" w:eastAsia="Times New Roman" w:hAnsi="Noto Sans" w:cs="Noto Sans"/>
          <w:color w:val="000000"/>
          <w:sz w:val="20"/>
          <w:szCs w:val="20"/>
        </w:rPr>
      </w:pPr>
      <w:r w:rsidRPr="007715DC">
        <w:rPr>
          <w:rFonts w:ascii="Noto Sans" w:eastAsia="Times New Roman" w:hAnsi="Noto Sans" w:cs="Noto Sans"/>
          <w:b/>
          <w:color w:val="000000"/>
          <w:sz w:val="20"/>
          <w:szCs w:val="20"/>
        </w:rPr>
        <w:t>Figura 6.</w:t>
      </w:r>
      <w:r w:rsidRPr="007715DC">
        <w:rPr>
          <w:rFonts w:ascii="Noto Sans" w:eastAsia="Times New Roman" w:hAnsi="Noto Sans" w:cs="Noto Sans"/>
          <w:color w:val="000000"/>
          <w:sz w:val="20"/>
          <w:szCs w:val="20"/>
        </w:rPr>
        <w:t xml:space="preserve"> Tasa de </w:t>
      </w:r>
      <w:r w:rsidRPr="007715DC">
        <w:rPr>
          <w:rFonts w:ascii="Noto Sans" w:eastAsia="Times New Roman" w:hAnsi="Noto Sans" w:cs="Noto Sans"/>
          <w:sz w:val="20"/>
          <w:szCs w:val="20"/>
        </w:rPr>
        <w:t>años de vida asociados a discapacidad por entidad federativa, México 2019</w:t>
      </w:r>
    </w:p>
    <w:p w:rsidR="00A2360D" w:rsidRPr="007715DC" w:rsidRDefault="00A2360D" w:rsidP="00A2360D">
      <w:pPr>
        <w:spacing w:line="360" w:lineRule="auto"/>
        <w:ind w:hanging="2"/>
        <w:jc w:val="center"/>
        <w:rPr>
          <w:rFonts w:ascii="Noto Sans" w:eastAsia="Times New Roman" w:hAnsi="Noto Sans" w:cs="Noto Sans"/>
          <w:color w:val="000000"/>
          <w:sz w:val="20"/>
          <w:szCs w:val="20"/>
        </w:rPr>
      </w:pPr>
      <w:r w:rsidRPr="007715DC">
        <w:rPr>
          <w:rFonts w:ascii="Noto Sans" w:eastAsia="Times New Roman" w:hAnsi="Noto Sans" w:cs="Noto Sans"/>
          <w:b/>
          <w:noProof/>
          <w:color w:val="000000"/>
          <w:sz w:val="20"/>
          <w:szCs w:val="20"/>
          <w:lang w:val="en-US" w:eastAsia="en-US"/>
        </w:rPr>
        <w:drawing>
          <wp:inline distT="0" distB="0" distL="114300" distR="114300" wp14:anchorId="375E52CB" wp14:editId="389B0FF6">
            <wp:extent cx="3562503" cy="2648102"/>
            <wp:effectExtent l="0" t="0" r="0" b="0"/>
            <wp:docPr id="103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3576948" cy="2658840"/>
                    </a:xfrm>
                    <a:prstGeom prst="rect">
                      <a:avLst/>
                    </a:prstGeom>
                    <a:ln/>
                  </pic:spPr>
                </pic:pic>
              </a:graphicData>
            </a:graphic>
          </wp:inline>
        </w:drawing>
      </w:r>
    </w:p>
    <w:p w:rsidR="00A2360D" w:rsidRPr="0047528A" w:rsidRDefault="00A2360D" w:rsidP="00A2360D">
      <w:pPr>
        <w:ind w:hanging="2"/>
        <w:rPr>
          <w:rFonts w:ascii="Noto Sans" w:eastAsia="Times New Roman" w:hAnsi="Noto Sans" w:cs="Noto Sans"/>
          <w:i/>
          <w:color w:val="000000"/>
          <w:sz w:val="16"/>
          <w:szCs w:val="20"/>
        </w:rPr>
      </w:pPr>
      <w:r w:rsidRPr="0047528A">
        <w:rPr>
          <w:rFonts w:ascii="Noto Sans" w:eastAsia="Times New Roman" w:hAnsi="Noto Sans" w:cs="Noto Sans"/>
          <w:i/>
          <w:sz w:val="16"/>
          <w:szCs w:val="20"/>
        </w:rPr>
        <w:t xml:space="preserve">Fuente: Elaboración propia con datos del Global Burden Disease Compare. Tasa de AVAD por cada 100,000 habitantes </w:t>
      </w:r>
      <w:sdt>
        <w:sdtPr>
          <w:rPr>
            <w:rFonts w:ascii="Noto Sans" w:hAnsi="Noto Sans" w:cs="Noto Sans"/>
            <w:i/>
            <w:color w:val="000000"/>
            <w:sz w:val="16"/>
            <w:szCs w:val="20"/>
          </w:rPr>
          <w:tag w:val="MENDELEY_CITATION_v3_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"/>
          <w:id w:val="372662160"/>
          <w:placeholder>
            <w:docPart w:val="CA0F531606524CAEA674CB98F7A4AE4B"/>
          </w:placeholder>
        </w:sdtPr>
        <w:sdtEndPr/>
        <w:sdtContent>
          <w:r w:rsidRPr="0047528A">
            <w:rPr>
              <w:rFonts w:ascii="Noto Sans" w:hAnsi="Noto Sans" w:cs="Noto Sans"/>
              <w:i/>
              <w:color w:val="000000"/>
              <w:sz w:val="16"/>
              <w:szCs w:val="20"/>
            </w:rPr>
            <w:t>[22]</w:t>
          </w:r>
        </w:sdtContent>
      </w:sdt>
      <w:r w:rsidRPr="0047528A">
        <w:rPr>
          <w:rFonts w:ascii="Noto Sans" w:hAnsi="Noto Sans" w:cs="Noto Sans"/>
          <w:i/>
          <w:color w:val="000000"/>
          <w:sz w:val="16"/>
          <w:szCs w:val="20"/>
        </w:rPr>
        <w:t>.</w:t>
      </w:r>
      <w:r w:rsidRPr="0047528A">
        <w:rPr>
          <w:rFonts w:ascii="Noto Sans" w:eastAsia="Times New Roman" w:hAnsi="Noto Sans" w:cs="Noto Sans"/>
          <w:i/>
          <w:color w:val="000000"/>
          <w:sz w:val="16"/>
          <w:szCs w:val="20"/>
        </w:rPr>
        <w:t xml:space="preserve"> Última actualización disponible: 2019.</w:t>
      </w:r>
    </w:p>
    <w:p w:rsidR="00A2360D" w:rsidRPr="007715DC" w:rsidRDefault="00A2360D" w:rsidP="00A2360D">
      <w:pPr>
        <w:spacing w:line="360" w:lineRule="auto"/>
        <w:ind w:hanging="2"/>
        <w:jc w:val="both"/>
        <w:rPr>
          <w:rFonts w:ascii="Noto Sans" w:eastAsia="Times New Roman" w:hAnsi="Noto Sans" w:cs="Noto Sans"/>
          <w:color w:val="000000"/>
          <w:sz w:val="20"/>
          <w:szCs w:val="20"/>
        </w:rPr>
      </w:pPr>
    </w:p>
    <w:p w:rsidR="00A2360D" w:rsidRPr="007715DC" w:rsidRDefault="00A2360D" w:rsidP="00A2360D">
      <w:pPr>
        <w:spacing w:line="360" w:lineRule="auto"/>
        <w:ind w:hanging="2"/>
        <w:jc w:val="both"/>
        <w:rPr>
          <w:rFonts w:ascii="Noto Sans" w:hAnsi="Noto Sans" w:cs="Noto Sans"/>
          <w:sz w:val="20"/>
          <w:szCs w:val="20"/>
        </w:rPr>
      </w:pPr>
      <w:r w:rsidRPr="007715DC">
        <w:rPr>
          <w:rFonts w:ascii="Noto Sans" w:eastAsia="Times New Roman" w:hAnsi="Noto Sans" w:cs="Noto Sans"/>
          <w:color w:val="000000"/>
          <w:sz w:val="20"/>
          <w:szCs w:val="20"/>
        </w:rPr>
        <w:t xml:space="preserve">De acuerdo con la información de las 10 causas de morbilidad reportadas por las unidades médicas durante el periodo de 2019 a 2023 y conforme la Clasificación Estadística Internacional de Enfermedades y Problemas relacionados con la Salud, la principal causa de morbilidad fue </w:t>
      </w:r>
      <w:r w:rsidRPr="007715DC">
        <w:rPr>
          <w:rFonts w:ascii="Noto Sans" w:hAnsi="Noto Sans" w:cs="Noto Sans"/>
          <w:sz w:val="20"/>
          <w:szCs w:val="20"/>
        </w:rPr>
        <w:t xml:space="preserve">ocasionada por enfermedades relacionadas con la salud mental principalmente por episodios depresivos con un mayor registro en 2019 y 2023, con una mayor incidencia en adultos de 30 </w:t>
      </w:r>
      <w:r w:rsidRPr="007715DC">
        <w:rPr>
          <w:rFonts w:ascii="Noto Sans" w:hAnsi="Noto Sans" w:cs="Noto Sans"/>
          <w:sz w:val="20"/>
          <w:szCs w:val="20"/>
        </w:rPr>
        <w:lastRenderedPageBreak/>
        <w:t>a 64 años seguido de los jóvenes; la segunda causa de morbilidad son los tumores concentrado en su mayoría en 2023, la tercer causa está relacionada con trastornos cardiovasculares, del oído, supervisión del embarazo, procedimientos de rehabilitación, las tres primeras causas de morbilidad se encuentran en el rango de adultos de 30 a 64 años y la cuarta causa de muerte está relacionada con las afecciones en el periodo perinatal, es decir hasta 1 año de edad (</w:t>
      </w:r>
      <w:r w:rsidRPr="007715DC">
        <w:rPr>
          <w:rFonts w:ascii="Noto Sans" w:hAnsi="Noto Sans" w:cs="Noto Sans"/>
          <w:b/>
          <w:sz w:val="20"/>
          <w:szCs w:val="20"/>
        </w:rPr>
        <w:t>Tabla 9</w:t>
      </w:r>
      <w:r w:rsidRPr="007715DC">
        <w:rPr>
          <w:rFonts w:ascii="Noto Sans" w:hAnsi="Noto Sans" w:cs="Noto Sans"/>
          <w:sz w:val="20"/>
          <w:szCs w:val="20"/>
        </w:rPr>
        <w:t>).</w:t>
      </w:r>
    </w:p>
    <w:p w:rsidR="00A2360D" w:rsidRPr="007715DC" w:rsidRDefault="00A2360D" w:rsidP="00A2360D">
      <w:pPr>
        <w:spacing w:before="60" w:line="360" w:lineRule="auto"/>
        <w:ind w:hanging="2"/>
        <w:rPr>
          <w:rFonts w:ascii="Noto Sans" w:eastAsia="Times New Roman" w:hAnsi="Noto Sans" w:cs="Noto Sans"/>
          <w:color w:val="000000"/>
          <w:sz w:val="20"/>
          <w:szCs w:val="20"/>
        </w:rPr>
      </w:pPr>
      <w:r w:rsidRPr="007715DC">
        <w:rPr>
          <w:rFonts w:ascii="Noto Sans" w:eastAsia="Times New Roman" w:hAnsi="Noto Sans" w:cs="Noto Sans"/>
          <w:b/>
          <w:bCs/>
          <w:color w:val="000000"/>
          <w:sz w:val="20"/>
          <w:szCs w:val="20"/>
        </w:rPr>
        <w:t>Tabla 9.</w:t>
      </w:r>
      <w:r w:rsidRPr="007715DC">
        <w:rPr>
          <w:rFonts w:ascii="Noto Sans" w:eastAsia="Times New Roman" w:hAnsi="Noto Sans" w:cs="Noto Sans"/>
          <w:color w:val="000000"/>
          <w:sz w:val="20"/>
          <w:szCs w:val="20"/>
        </w:rPr>
        <w:t xml:space="preserve"> Causas de morbilidad por rango de edades, Pp E031 años 2019-2023</w:t>
      </w:r>
    </w:p>
    <w:tbl>
      <w:tblPr>
        <w:tblW w:w="8680" w:type="dxa"/>
        <w:tblCellMar>
          <w:left w:w="70" w:type="dxa"/>
          <w:right w:w="70" w:type="dxa"/>
        </w:tblCellMar>
        <w:tblLook w:val="04A0" w:firstRow="1" w:lastRow="0" w:firstColumn="1" w:lastColumn="0" w:noHBand="0" w:noVBand="1"/>
      </w:tblPr>
      <w:tblGrid>
        <w:gridCol w:w="1240"/>
        <w:gridCol w:w="1240"/>
        <w:gridCol w:w="1240"/>
        <w:gridCol w:w="1365"/>
        <w:gridCol w:w="1240"/>
        <w:gridCol w:w="1240"/>
        <w:gridCol w:w="1240"/>
      </w:tblGrid>
      <w:tr w:rsidR="00A2360D" w:rsidRPr="007715DC" w:rsidTr="00A2360D">
        <w:trPr>
          <w:trHeight w:val="684"/>
          <w:tblHeader/>
        </w:trPr>
        <w:tc>
          <w:tcPr>
            <w:tcW w:w="1240" w:type="dxa"/>
            <w:tcBorders>
              <w:top w:val="single" w:sz="4" w:space="0" w:color="D9D9D9"/>
              <w:left w:val="single" w:sz="4" w:space="0" w:color="D9D9D9"/>
              <w:bottom w:val="single" w:sz="4" w:space="0" w:color="D9D9D9"/>
              <w:right w:val="single" w:sz="4" w:space="0" w:color="D9D9D9"/>
            </w:tcBorders>
            <w:shd w:val="clear" w:color="000000" w:fill="375623"/>
            <w:noWrap/>
            <w:vAlign w:val="center"/>
            <w:hideMark/>
          </w:tcPr>
          <w:p w:rsidR="00A2360D" w:rsidRPr="007715DC" w:rsidRDefault="00A2360D" w:rsidP="00A2360D">
            <w:pPr>
              <w:jc w:val="center"/>
              <w:rPr>
                <w:rFonts w:ascii="Noto Sans" w:eastAsia="Times New Roman" w:hAnsi="Noto Sans" w:cs="Noto Sans"/>
                <w:b/>
                <w:bCs/>
                <w:color w:val="FFFFFF"/>
                <w:sz w:val="20"/>
                <w:szCs w:val="20"/>
              </w:rPr>
            </w:pPr>
            <w:r w:rsidRPr="007715DC">
              <w:rPr>
                <w:rFonts w:ascii="Noto Sans" w:eastAsia="Times New Roman" w:hAnsi="Noto Sans" w:cs="Noto Sans"/>
                <w:b/>
                <w:bCs/>
                <w:color w:val="FFFFFF"/>
                <w:sz w:val="20"/>
                <w:szCs w:val="20"/>
              </w:rPr>
              <w:t>CIE-10</w:t>
            </w:r>
          </w:p>
        </w:tc>
        <w:tc>
          <w:tcPr>
            <w:tcW w:w="1240" w:type="dxa"/>
            <w:tcBorders>
              <w:top w:val="single" w:sz="4" w:space="0" w:color="D9D9D9"/>
              <w:left w:val="nil"/>
              <w:bottom w:val="single" w:sz="4" w:space="0" w:color="D9D9D9"/>
              <w:right w:val="single" w:sz="4" w:space="0" w:color="D9D9D9"/>
            </w:tcBorders>
            <w:shd w:val="clear" w:color="000000" w:fill="375623"/>
            <w:vAlign w:val="center"/>
            <w:hideMark/>
          </w:tcPr>
          <w:p w:rsidR="00A2360D" w:rsidRPr="007715DC" w:rsidRDefault="00A2360D" w:rsidP="00A2360D">
            <w:pPr>
              <w:jc w:val="center"/>
              <w:rPr>
                <w:rFonts w:ascii="Noto Sans" w:eastAsia="Times New Roman" w:hAnsi="Noto Sans" w:cs="Noto Sans"/>
                <w:b/>
                <w:bCs/>
                <w:color w:val="FFFFFF"/>
                <w:sz w:val="20"/>
                <w:szCs w:val="20"/>
              </w:rPr>
            </w:pPr>
            <w:r w:rsidRPr="007715DC">
              <w:rPr>
                <w:rFonts w:ascii="Noto Sans" w:eastAsia="Times New Roman" w:hAnsi="Noto Sans" w:cs="Noto Sans"/>
                <w:b/>
                <w:bCs/>
                <w:color w:val="FFFFFF"/>
                <w:sz w:val="20"/>
                <w:szCs w:val="20"/>
              </w:rPr>
              <w:t xml:space="preserve">Infantes </w:t>
            </w:r>
            <w:r w:rsidRPr="007715DC">
              <w:rPr>
                <w:rFonts w:ascii="Noto Sans" w:eastAsia="Times New Roman" w:hAnsi="Noto Sans" w:cs="Noto Sans"/>
                <w:b/>
                <w:bCs/>
                <w:color w:val="FFFFFF"/>
                <w:sz w:val="20"/>
                <w:szCs w:val="20"/>
              </w:rPr>
              <w:br/>
              <w:t>0 - 5 años 11 meses</w:t>
            </w:r>
          </w:p>
        </w:tc>
        <w:tc>
          <w:tcPr>
            <w:tcW w:w="1240" w:type="dxa"/>
            <w:tcBorders>
              <w:top w:val="single" w:sz="4" w:space="0" w:color="D9D9D9"/>
              <w:left w:val="nil"/>
              <w:bottom w:val="single" w:sz="4" w:space="0" w:color="D9D9D9"/>
              <w:right w:val="single" w:sz="4" w:space="0" w:color="D9D9D9"/>
            </w:tcBorders>
            <w:shd w:val="clear" w:color="000000" w:fill="375623"/>
            <w:vAlign w:val="center"/>
            <w:hideMark/>
          </w:tcPr>
          <w:p w:rsidR="00A2360D" w:rsidRPr="007715DC" w:rsidRDefault="00A2360D" w:rsidP="00A2360D">
            <w:pPr>
              <w:jc w:val="center"/>
              <w:rPr>
                <w:rFonts w:ascii="Noto Sans" w:eastAsia="Times New Roman" w:hAnsi="Noto Sans" w:cs="Noto Sans"/>
                <w:b/>
                <w:bCs/>
                <w:color w:val="FFFFFF"/>
                <w:sz w:val="20"/>
                <w:szCs w:val="20"/>
              </w:rPr>
            </w:pPr>
            <w:r w:rsidRPr="007715DC">
              <w:rPr>
                <w:rFonts w:ascii="Noto Sans" w:eastAsia="Times New Roman" w:hAnsi="Noto Sans" w:cs="Noto Sans"/>
                <w:b/>
                <w:bCs/>
                <w:color w:val="FFFFFF"/>
                <w:sz w:val="20"/>
                <w:szCs w:val="20"/>
              </w:rPr>
              <w:t xml:space="preserve">Niñas y niños </w:t>
            </w:r>
            <w:r w:rsidRPr="007715DC">
              <w:rPr>
                <w:rFonts w:ascii="Noto Sans" w:eastAsia="Times New Roman" w:hAnsi="Noto Sans" w:cs="Noto Sans"/>
                <w:b/>
                <w:bCs/>
                <w:color w:val="FFFFFF"/>
                <w:sz w:val="20"/>
                <w:szCs w:val="20"/>
              </w:rPr>
              <w:br/>
              <w:t>6 - 12 años 11 meses</w:t>
            </w:r>
          </w:p>
        </w:tc>
        <w:tc>
          <w:tcPr>
            <w:tcW w:w="1240" w:type="dxa"/>
            <w:tcBorders>
              <w:top w:val="single" w:sz="4" w:space="0" w:color="D9D9D9"/>
              <w:left w:val="nil"/>
              <w:bottom w:val="single" w:sz="4" w:space="0" w:color="D9D9D9"/>
              <w:right w:val="single" w:sz="4" w:space="0" w:color="D9D9D9"/>
            </w:tcBorders>
            <w:shd w:val="clear" w:color="000000" w:fill="375623"/>
            <w:vAlign w:val="center"/>
            <w:hideMark/>
          </w:tcPr>
          <w:p w:rsidR="00A2360D" w:rsidRPr="007715DC" w:rsidRDefault="00A2360D" w:rsidP="00A2360D">
            <w:pPr>
              <w:jc w:val="center"/>
              <w:rPr>
                <w:rFonts w:ascii="Noto Sans" w:eastAsia="Times New Roman" w:hAnsi="Noto Sans" w:cs="Noto Sans"/>
                <w:b/>
                <w:bCs/>
                <w:color w:val="FFFFFF"/>
                <w:sz w:val="20"/>
                <w:szCs w:val="20"/>
              </w:rPr>
            </w:pPr>
            <w:r w:rsidRPr="007715DC">
              <w:rPr>
                <w:rFonts w:ascii="Noto Sans" w:eastAsia="Times New Roman" w:hAnsi="Noto Sans" w:cs="Noto Sans"/>
                <w:b/>
                <w:bCs/>
                <w:color w:val="FFFFFF"/>
                <w:sz w:val="20"/>
                <w:szCs w:val="20"/>
              </w:rPr>
              <w:t xml:space="preserve">Adolecentes </w:t>
            </w:r>
            <w:r w:rsidRPr="007715DC">
              <w:rPr>
                <w:rFonts w:ascii="Noto Sans" w:eastAsia="Times New Roman" w:hAnsi="Noto Sans" w:cs="Noto Sans"/>
                <w:b/>
                <w:bCs/>
                <w:color w:val="FFFFFF"/>
                <w:sz w:val="20"/>
                <w:szCs w:val="20"/>
              </w:rPr>
              <w:br/>
              <w:t>13 - 17 años 11 meses</w:t>
            </w:r>
          </w:p>
        </w:tc>
        <w:tc>
          <w:tcPr>
            <w:tcW w:w="1240" w:type="dxa"/>
            <w:tcBorders>
              <w:top w:val="single" w:sz="4" w:space="0" w:color="D9D9D9"/>
              <w:left w:val="nil"/>
              <w:bottom w:val="single" w:sz="4" w:space="0" w:color="D9D9D9"/>
              <w:right w:val="single" w:sz="4" w:space="0" w:color="D9D9D9"/>
            </w:tcBorders>
            <w:shd w:val="clear" w:color="000000" w:fill="375623"/>
            <w:vAlign w:val="center"/>
            <w:hideMark/>
          </w:tcPr>
          <w:p w:rsidR="00A2360D" w:rsidRPr="007715DC" w:rsidRDefault="00A2360D" w:rsidP="00A2360D">
            <w:pPr>
              <w:jc w:val="center"/>
              <w:rPr>
                <w:rFonts w:ascii="Noto Sans" w:eastAsia="Times New Roman" w:hAnsi="Noto Sans" w:cs="Noto Sans"/>
                <w:b/>
                <w:bCs/>
                <w:color w:val="FFFFFF"/>
                <w:sz w:val="20"/>
                <w:szCs w:val="20"/>
              </w:rPr>
            </w:pPr>
            <w:r w:rsidRPr="007715DC">
              <w:rPr>
                <w:rFonts w:ascii="Noto Sans" w:eastAsia="Times New Roman" w:hAnsi="Noto Sans" w:cs="Noto Sans"/>
                <w:b/>
                <w:bCs/>
                <w:color w:val="FFFFFF"/>
                <w:sz w:val="20"/>
                <w:szCs w:val="20"/>
              </w:rPr>
              <w:t xml:space="preserve">Jóvenes </w:t>
            </w:r>
            <w:r w:rsidRPr="007715DC">
              <w:rPr>
                <w:rFonts w:ascii="Noto Sans" w:eastAsia="Times New Roman" w:hAnsi="Noto Sans" w:cs="Noto Sans"/>
                <w:b/>
                <w:bCs/>
                <w:color w:val="FFFFFF"/>
                <w:sz w:val="20"/>
                <w:szCs w:val="20"/>
              </w:rPr>
              <w:br/>
              <w:t>18 - 29 años 11 meses</w:t>
            </w:r>
          </w:p>
        </w:tc>
        <w:tc>
          <w:tcPr>
            <w:tcW w:w="1240" w:type="dxa"/>
            <w:tcBorders>
              <w:top w:val="single" w:sz="4" w:space="0" w:color="D9D9D9"/>
              <w:left w:val="nil"/>
              <w:bottom w:val="single" w:sz="4" w:space="0" w:color="D9D9D9"/>
              <w:right w:val="single" w:sz="4" w:space="0" w:color="D9D9D9"/>
            </w:tcBorders>
            <w:shd w:val="clear" w:color="000000" w:fill="375623"/>
            <w:vAlign w:val="center"/>
            <w:hideMark/>
          </w:tcPr>
          <w:p w:rsidR="00A2360D" w:rsidRPr="007715DC" w:rsidRDefault="00A2360D" w:rsidP="00A2360D">
            <w:pPr>
              <w:jc w:val="center"/>
              <w:rPr>
                <w:rFonts w:ascii="Noto Sans" w:eastAsia="Times New Roman" w:hAnsi="Noto Sans" w:cs="Noto Sans"/>
                <w:b/>
                <w:bCs/>
                <w:color w:val="FFFFFF"/>
                <w:sz w:val="20"/>
                <w:szCs w:val="20"/>
              </w:rPr>
            </w:pPr>
            <w:r w:rsidRPr="007715DC">
              <w:rPr>
                <w:rFonts w:ascii="Noto Sans" w:eastAsia="Times New Roman" w:hAnsi="Noto Sans" w:cs="Noto Sans"/>
                <w:b/>
                <w:bCs/>
                <w:color w:val="FFFFFF"/>
                <w:sz w:val="20"/>
                <w:szCs w:val="20"/>
              </w:rPr>
              <w:t xml:space="preserve">Adultos </w:t>
            </w:r>
            <w:r w:rsidRPr="007715DC">
              <w:rPr>
                <w:rFonts w:ascii="Noto Sans" w:eastAsia="Times New Roman" w:hAnsi="Noto Sans" w:cs="Noto Sans"/>
                <w:b/>
                <w:bCs/>
                <w:color w:val="FFFFFF"/>
                <w:sz w:val="20"/>
                <w:szCs w:val="20"/>
              </w:rPr>
              <w:br/>
              <w:t>30 - 64 años 11 meses</w:t>
            </w:r>
          </w:p>
        </w:tc>
        <w:tc>
          <w:tcPr>
            <w:tcW w:w="1240" w:type="dxa"/>
            <w:tcBorders>
              <w:top w:val="single" w:sz="4" w:space="0" w:color="D9D9D9"/>
              <w:left w:val="nil"/>
              <w:bottom w:val="single" w:sz="4" w:space="0" w:color="D9D9D9"/>
              <w:right w:val="single" w:sz="4" w:space="0" w:color="D9D9D9"/>
            </w:tcBorders>
            <w:shd w:val="clear" w:color="000000" w:fill="375623"/>
            <w:vAlign w:val="center"/>
            <w:hideMark/>
          </w:tcPr>
          <w:p w:rsidR="00A2360D" w:rsidRPr="007715DC" w:rsidRDefault="00A2360D" w:rsidP="00A2360D">
            <w:pPr>
              <w:jc w:val="center"/>
              <w:rPr>
                <w:rFonts w:ascii="Noto Sans" w:eastAsia="Times New Roman" w:hAnsi="Noto Sans" w:cs="Noto Sans"/>
                <w:b/>
                <w:bCs/>
                <w:color w:val="FFFFFF"/>
                <w:sz w:val="20"/>
                <w:szCs w:val="20"/>
              </w:rPr>
            </w:pPr>
            <w:r w:rsidRPr="007715DC">
              <w:rPr>
                <w:rFonts w:ascii="Noto Sans" w:eastAsia="Times New Roman" w:hAnsi="Noto Sans" w:cs="Noto Sans"/>
                <w:b/>
                <w:bCs/>
                <w:color w:val="FFFFFF"/>
                <w:sz w:val="20"/>
                <w:szCs w:val="20"/>
              </w:rPr>
              <w:t xml:space="preserve">Adultos </w:t>
            </w:r>
            <w:r w:rsidRPr="007715DC">
              <w:rPr>
                <w:rFonts w:ascii="Noto Sans" w:eastAsia="Times New Roman" w:hAnsi="Noto Sans" w:cs="Noto Sans"/>
                <w:b/>
                <w:bCs/>
                <w:color w:val="FFFFFF"/>
                <w:sz w:val="20"/>
                <w:szCs w:val="20"/>
              </w:rPr>
              <w:br/>
              <w:t>mayores &gt; 65 años</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V</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7,959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97,780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85,057</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202,439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364,387</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56,360</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II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11,919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22,399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14,302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70,583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166,174</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71,477</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XXI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5,687</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2,868</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14,773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65,579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43,298</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29,010</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XIV</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1,523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2,464</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8,592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59,406</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35,006</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38,611</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XVIII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11,226</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6,003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8,519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32,935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61,192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25,205</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IV</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2,479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7,211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11,325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42,753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51,960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27,729</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XIX</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11,766</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14,455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9,141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14,900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32,185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12,935</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25,695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24,822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13,511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19,247</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34,699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13,002</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IX</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290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642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1,262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13,119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52,940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57,218</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2,604</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4,335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2,261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7,366</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27,515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5,935</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XXII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1,234</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1,030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1,605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8,325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24,490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10,981</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XVII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19,857</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10,741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4,680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2,663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2,824</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708</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XV</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171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3,809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21,044</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8,412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XIII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370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720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490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1,695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11,358</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10,100</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VII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356</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222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270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3,247</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9,833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8,665</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2,239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1,306</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818</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4,121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9,320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1,101</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VI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4,831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5,946</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2,795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1,156</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2,783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630</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VIII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877</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710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143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353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1,804</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1,383</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XII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61</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83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118</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333</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3,395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1,616</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III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1,135</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1,692</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737</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0</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XVI</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2,169</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0</w:t>
            </w:r>
          </w:p>
        </w:tc>
      </w:tr>
      <w:tr w:rsidR="00A2360D" w:rsidRPr="007715DC" w:rsidTr="00A2360D">
        <w:trPr>
          <w:trHeight w:val="240"/>
        </w:trPr>
        <w:tc>
          <w:tcPr>
            <w:tcW w:w="1240" w:type="dxa"/>
            <w:tcBorders>
              <w:top w:val="nil"/>
              <w:left w:val="single" w:sz="4" w:space="0" w:color="D9D9D9"/>
              <w:bottom w:val="single" w:sz="4" w:space="0" w:color="D9D9D9"/>
              <w:right w:val="single" w:sz="4" w:space="0" w:color="D9D9D9"/>
            </w:tcBorders>
            <w:shd w:val="clear" w:color="auto" w:fill="auto"/>
            <w:noWrap/>
            <w:vAlign w:val="center"/>
            <w:hideMark/>
          </w:tcPr>
          <w:p w:rsidR="00A2360D" w:rsidRPr="007715DC" w:rsidRDefault="00A2360D" w:rsidP="00A2360D">
            <w:pPr>
              <w:jc w:val="right"/>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XX</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4</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4</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4</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0</w:t>
            </w:r>
          </w:p>
        </w:tc>
        <w:tc>
          <w:tcPr>
            <w:tcW w:w="1240" w:type="dxa"/>
            <w:tcBorders>
              <w:top w:val="nil"/>
              <w:left w:val="nil"/>
              <w:bottom w:val="single" w:sz="4" w:space="0" w:color="D9D9D9"/>
              <w:right w:val="single" w:sz="4" w:space="0" w:color="D9D9D9"/>
            </w:tcBorders>
            <w:shd w:val="clear" w:color="auto" w:fill="auto"/>
            <w:noWrap/>
            <w:vAlign w:val="center"/>
            <w:hideMark/>
          </w:tcPr>
          <w:p w:rsidR="00A2360D" w:rsidRPr="007715DC" w:rsidRDefault="00A2360D" w:rsidP="00A2360D">
            <w:pPr>
              <w:jc w:val="cente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0</w:t>
            </w:r>
          </w:p>
        </w:tc>
      </w:tr>
    </w:tbl>
    <w:p w:rsidR="00A2360D" w:rsidRPr="007715DC" w:rsidRDefault="00A2360D" w:rsidP="00A2360D">
      <w:pPr>
        <w:jc w:val="both"/>
        <w:rPr>
          <w:rFonts w:ascii="Noto Sans" w:eastAsia="Times New Roman" w:hAnsi="Noto Sans" w:cs="Noto Sans"/>
          <w:color w:val="000000"/>
          <w:sz w:val="20"/>
          <w:szCs w:val="20"/>
        </w:rPr>
      </w:pPr>
    </w:p>
    <w:p w:rsidR="00A2360D" w:rsidRPr="0047528A" w:rsidRDefault="00A2360D" w:rsidP="00A2360D">
      <w:pPr>
        <w:jc w:val="both"/>
        <w:rPr>
          <w:rFonts w:ascii="Noto Sans" w:eastAsia="Times New Roman" w:hAnsi="Noto Sans" w:cs="Noto Sans"/>
          <w:i/>
          <w:color w:val="000000"/>
          <w:sz w:val="16"/>
          <w:szCs w:val="20"/>
        </w:rPr>
      </w:pPr>
      <w:r w:rsidRPr="0047528A">
        <w:rPr>
          <w:rFonts w:ascii="Noto Sans" w:eastAsia="Times New Roman" w:hAnsi="Noto Sans" w:cs="Noto Sans"/>
          <w:i/>
          <w:color w:val="000000"/>
          <w:sz w:val="16"/>
          <w:szCs w:val="20"/>
        </w:rPr>
        <w:t>No incluye datos del Instituto Nacional de Neurología y Neurocirugía Manuel Velasco Suárez, Instituto Nacional de Perinatología Isidro Espinosa de los Reyes y Hospital de la Mujer.</w:t>
      </w:r>
    </w:p>
    <w:p w:rsidR="00A2360D" w:rsidRPr="0047528A" w:rsidRDefault="00A2360D" w:rsidP="00A2360D">
      <w:pPr>
        <w:jc w:val="both"/>
        <w:rPr>
          <w:rFonts w:ascii="Noto Sans" w:eastAsia="Times New Roman" w:hAnsi="Noto Sans" w:cs="Noto Sans"/>
          <w:i/>
          <w:color w:val="000000"/>
          <w:sz w:val="16"/>
          <w:szCs w:val="20"/>
        </w:rPr>
      </w:pPr>
      <w:r w:rsidRPr="0047528A">
        <w:rPr>
          <w:rFonts w:ascii="Noto Sans" w:eastAsia="Times New Roman" w:hAnsi="Noto Sans" w:cs="Noto Sans"/>
          <w:i/>
          <w:color w:val="000000"/>
          <w:sz w:val="16"/>
          <w:szCs w:val="20"/>
        </w:rPr>
        <w:t>No se incluyen los datos de urgencias del Instituto Nacional de Rehabilitación Luis Guillermo Ibarra Ibarra debido a que el Departamento de Urgencias no clasifica los códigos relacionados con grupo de edad de pacientes.</w:t>
      </w:r>
    </w:p>
    <w:p w:rsidR="00A2360D" w:rsidRPr="007715DC" w:rsidRDefault="00A2360D" w:rsidP="00A2360D">
      <w:pPr>
        <w:jc w:val="both"/>
        <w:rPr>
          <w:rFonts w:ascii="Noto Sans" w:eastAsia="Times New Roman" w:hAnsi="Noto Sans" w:cs="Noto Sans"/>
          <w:color w:val="000000"/>
          <w:sz w:val="20"/>
          <w:szCs w:val="20"/>
        </w:rPr>
      </w:pPr>
    </w:p>
    <w:p w:rsidR="00A2360D" w:rsidRPr="007715DC" w:rsidRDefault="00A2360D" w:rsidP="00A2360D">
      <w:pPr>
        <w:spacing w:before="60" w:line="360" w:lineRule="auto"/>
        <w:jc w:val="both"/>
        <w:rPr>
          <w:rFonts w:ascii="Noto Sans" w:eastAsia="Times New Roman" w:hAnsi="Noto Sans" w:cs="Noto Sans"/>
          <w:color w:val="000000"/>
          <w:sz w:val="20"/>
          <w:szCs w:val="20"/>
        </w:rPr>
      </w:pPr>
    </w:p>
    <w:p w:rsidR="00A2360D" w:rsidRPr="007715DC" w:rsidRDefault="00A2360D" w:rsidP="00A2360D">
      <w:pPr>
        <w:spacing w:before="60" w:line="360" w:lineRule="auto"/>
        <w:jc w:val="both"/>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lastRenderedPageBreak/>
        <w:t>El área que presenta una mayor recurrencia de pacientes en las unidades médicas es en Consulta Externa para la atención de trastorno mental, de humor, estrés, seguido de la revisión de tumores malignos, principalmente de mama y en el tercer rubro para trastornos metabólicos como la diabetes mellitus, deficiencias nutricionales.</w:t>
      </w:r>
    </w:p>
    <w:p w:rsidR="00A2360D" w:rsidRPr="007715DC" w:rsidRDefault="00A2360D" w:rsidP="00A2360D">
      <w:pPr>
        <w:spacing w:before="60" w:line="360" w:lineRule="auto"/>
        <w:ind w:hanging="2"/>
        <w:jc w:val="both"/>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En Hospitalización se relaciona con tumores malignos principalmente en el tejido linfático, genitales femeninos y órgano digestivo; por insuficiencia renal, litiasis urinaria, así como por parto. En Urgencias se present</w:t>
      </w:r>
      <w:r w:rsidR="007D1DE2">
        <w:rPr>
          <w:rFonts w:ascii="Noto Sans" w:eastAsia="Times New Roman" w:hAnsi="Noto Sans" w:cs="Noto Sans"/>
          <w:color w:val="000000"/>
          <w:sz w:val="20"/>
          <w:szCs w:val="20"/>
        </w:rPr>
        <w:t xml:space="preserve">an casos de </w:t>
      </w:r>
      <w:r w:rsidRPr="007715DC">
        <w:rPr>
          <w:rFonts w:ascii="Noto Sans" w:eastAsia="Times New Roman" w:hAnsi="Noto Sans" w:cs="Noto Sans"/>
          <w:color w:val="000000"/>
          <w:sz w:val="20"/>
          <w:szCs w:val="20"/>
        </w:rPr>
        <w:t xml:space="preserve"> esquizofrenia; dolor abdominal y pélvico (</w:t>
      </w:r>
      <w:r w:rsidRPr="007715DC">
        <w:rPr>
          <w:rFonts w:ascii="Noto Sans" w:eastAsia="Times New Roman" w:hAnsi="Noto Sans" w:cs="Noto Sans"/>
          <w:b/>
          <w:color w:val="000000"/>
          <w:sz w:val="20"/>
          <w:szCs w:val="20"/>
        </w:rPr>
        <w:t>Tabla 10</w:t>
      </w:r>
      <w:r w:rsidRPr="007715DC">
        <w:rPr>
          <w:rFonts w:ascii="Noto Sans" w:eastAsia="Times New Roman" w:hAnsi="Noto Sans" w:cs="Noto Sans"/>
          <w:color w:val="000000"/>
          <w:sz w:val="20"/>
          <w:szCs w:val="20"/>
        </w:rPr>
        <w:t>).</w:t>
      </w:r>
    </w:p>
    <w:p w:rsidR="00A2360D" w:rsidRPr="007715DC" w:rsidRDefault="00A2360D" w:rsidP="00A2360D">
      <w:pPr>
        <w:spacing w:before="60" w:line="360" w:lineRule="auto"/>
        <w:ind w:hanging="2"/>
        <w:rPr>
          <w:rFonts w:ascii="Noto Sans" w:eastAsia="Times New Roman" w:hAnsi="Noto Sans" w:cs="Noto Sans"/>
          <w:color w:val="000000"/>
          <w:sz w:val="20"/>
          <w:szCs w:val="20"/>
        </w:rPr>
      </w:pPr>
      <w:r w:rsidRPr="007715DC">
        <w:rPr>
          <w:rFonts w:ascii="Noto Sans" w:eastAsia="Times New Roman" w:hAnsi="Noto Sans" w:cs="Noto Sans"/>
          <w:b/>
          <w:bCs/>
          <w:color w:val="000000"/>
          <w:sz w:val="20"/>
          <w:szCs w:val="20"/>
        </w:rPr>
        <w:t xml:space="preserve">Tabla 10. </w:t>
      </w:r>
      <w:r w:rsidRPr="007715DC">
        <w:rPr>
          <w:rFonts w:ascii="Noto Sans" w:eastAsia="Times New Roman" w:hAnsi="Noto Sans" w:cs="Noto Sans"/>
          <w:bCs/>
          <w:sz w:val="20"/>
          <w:szCs w:val="20"/>
        </w:rPr>
        <w:t>Causas de morbilidad por área de atención</w:t>
      </w:r>
      <w:r w:rsidRPr="007715DC">
        <w:rPr>
          <w:rFonts w:ascii="Noto Sans" w:eastAsia="Times New Roman" w:hAnsi="Noto Sans" w:cs="Noto Sans"/>
          <w:color w:val="000000"/>
          <w:sz w:val="20"/>
          <w:szCs w:val="20"/>
        </w:rPr>
        <w:t xml:space="preserve"> Pp E031,2019-2023</w:t>
      </w:r>
      <w:r w:rsidRPr="007715DC">
        <w:rPr>
          <w:rFonts w:ascii="Noto Sans" w:eastAsia="Times New Roman" w:hAnsi="Noto Sans" w:cs="Noto Sans"/>
          <w:bCs/>
          <w:sz w:val="20"/>
          <w:szCs w:val="20"/>
        </w:rPr>
        <w:t xml:space="preserve"> </w:t>
      </w:r>
    </w:p>
    <w:tbl>
      <w:tblPr>
        <w:tblW w:w="8260" w:type="dxa"/>
        <w:tblCellMar>
          <w:left w:w="70" w:type="dxa"/>
          <w:right w:w="70" w:type="dxa"/>
        </w:tblCellMar>
        <w:tblLook w:val="04A0" w:firstRow="1" w:lastRow="0" w:firstColumn="1" w:lastColumn="0" w:noHBand="0" w:noVBand="1"/>
      </w:tblPr>
      <w:tblGrid>
        <w:gridCol w:w="2060"/>
        <w:gridCol w:w="1240"/>
        <w:gridCol w:w="1240"/>
        <w:gridCol w:w="1240"/>
        <w:gridCol w:w="1240"/>
        <w:gridCol w:w="1240"/>
      </w:tblGrid>
      <w:tr w:rsidR="00A2360D" w:rsidRPr="007715DC" w:rsidTr="00A2360D">
        <w:trPr>
          <w:trHeight w:val="276"/>
          <w:tblHeader/>
        </w:trPr>
        <w:tc>
          <w:tcPr>
            <w:tcW w:w="2060" w:type="dxa"/>
            <w:tcBorders>
              <w:top w:val="nil"/>
              <w:left w:val="nil"/>
              <w:bottom w:val="nil"/>
              <w:right w:val="nil"/>
            </w:tcBorders>
            <w:shd w:val="clear" w:color="000000" w:fill="833C0C"/>
            <w:noWrap/>
            <w:vAlign w:val="bottom"/>
            <w:hideMark/>
          </w:tcPr>
          <w:p w:rsidR="00A2360D" w:rsidRPr="007715DC" w:rsidRDefault="00A2360D" w:rsidP="00A2360D">
            <w:pPr>
              <w:rPr>
                <w:rFonts w:ascii="Noto Sans" w:eastAsia="Times New Roman" w:hAnsi="Noto Sans" w:cs="Noto Sans"/>
                <w:b/>
                <w:bCs/>
                <w:color w:val="FFFFFF"/>
                <w:sz w:val="20"/>
                <w:szCs w:val="20"/>
              </w:rPr>
            </w:pPr>
            <w:r w:rsidRPr="007715DC">
              <w:rPr>
                <w:rFonts w:ascii="Noto Sans" w:eastAsia="Times New Roman" w:hAnsi="Noto Sans" w:cs="Noto Sans"/>
                <w:b/>
                <w:bCs/>
                <w:color w:val="FFFFFF"/>
                <w:sz w:val="20"/>
                <w:szCs w:val="20"/>
              </w:rPr>
              <w:t>Área/CIE</w:t>
            </w:r>
          </w:p>
        </w:tc>
        <w:tc>
          <w:tcPr>
            <w:tcW w:w="1240" w:type="dxa"/>
            <w:tcBorders>
              <w:top w:val="nil"/>
              <w:left w:val="nil"/>
              <w:bottom w:val="nil"/>
              <w:right w:val="nil"/>
            </w:tcBorders>
            <w:shd w:val="clear" w:color="DDEBF7" w:fill="833C0C"/>
            <w:noWrap/>
            <w:vAlign w:val="bottom"/>
            <w:hideMark/>
          </w:tcPr>
          <w:p w:rsidR="00A2360D" w:rsidRPr="007715DC" w:rsidRDefault="00A2360D" w:rsidP="00A2360D">
            <w:pPr>
              <w:jc w:val="center"/>
              <w:rPr>
                <w:rFonts w:ascii="Noto Sans" w:eastAsia="Times New Roman" w:hAnsi="Noto Sans" w:cs="Noto Sans"/>
                <w:b/>
                <w:bCs/>
                <w:color w:val="FFFFFF"/>
                <w:sz w:val="20"/>
                <w:szCs w:val="20"/>
              </w:rPr>
            </w:pPr>
            <w:r w:rsidRPr="007715DC">
              <w:rPr>
                <w:rFonts w:ascii="Noto Sans" w:eastAsia="Times New Roman" w:hAnsi="Noto Sans" w:cs="Noto Sans"/>
                <w:b/>
                <w:bCs/>
                <w:color w:val="FFFFFF"/>
                <w:sz w:val="20"/>
                <w:szCs w:val="20"/>
              </w:rPr>
              <w:t>2019</w:t>
            </w:r>
          </w:p>
        </w:tc>
        <w:tc>
          <w:tcPr>
            <w:tcW w:w="1240" w:type="dxa"/>
            <w:tcBorders>
              <w:top w:val="nil"/>
              <w:left w:val="nil"/>
              <w:bottom w:val="nil"/>
              <w:right w:val="nil"/>
            </w:tcBorders>
            <w:shd w:val="clear" w:color="DDEBF7" w:fill="833C0C"/>
            <w:noWrap/>
            <w:vAlign w:val="bottom"/>
            <w:hideMark/>
          </w:tcPr>
          <w:p w:rsidR="00A2360D" w:rsidRPr="007715DC" w:rsidRDefault="00A2360D" w:rsidP="00A2360D">
            <w:pPr>
              <w:jc w:val="center"/>
              <w:rPr>
                <w:rFonts w:ascii="Noto Sans" w:eastAsia="Times New Roman" w:hAnsi="Noto Sans" w:cs="Noto Sans"/>
                <w:b/>
                <w:bCs/>
                <w:color w:val="FFFFFF"/>
                <w:sz w:val="20"/>
                <w:szCs w:val="20"/>
              </w:rPr>
            </w:pPr>
            <w:r w:rsidRPr="007715DC">
              <w:rPr>
                <w:rFonts w:ascii="Noto Sans" w:eastAsia="Times New Roman" w:hAnsi="Noto Sans" w:cs="Noto Sans"/>
                <w:b/>
                <w:bCs/>
                <w:color w:val="FFFFFF"/>
                <w:sz w:val="20"/>
                <w:szCs w:val="20"/>
              </w:rPr>
              <w:t>2020</w:t>
            </w:r>
          </w:p>
        </w:tc>
        <w:tc>
          <w:tcPr>
            <w:tcW w:w="1240" w:type="dxa"/>
            <w:tcBorders>
              <w:top w:val="nil"/>
              <w:left w:val="nil"/>
              <w:bottom w:val="nil"/>
              <w:right w:val="nil"/>
            </w:tcBorders>
            <w:shd w:val="clear" w:color="DDEBF7" w:fill="833C0C"/>
            <w:noWrap/>
            <w:vAlign w:val="bottom"/>
            <w:hideMark/>
          </w:tcPr>
          <w:p w:rsidR="00A2360D" w:rsidRPr="007715DC" w:rsidRDefault="00A2360D" w:rsidP="00A2360D">
            <w:pPr>
              <w:jc w:val="center"/>
              <w:rPr>
                <w:rFonts w:ascii="Noto Sans" w:eastAsia="Times New Roman" w:hAnsi="Noto Sans" w:cs="Noto Sans"/>
                <w:b/>
                <w:bCs/>
                <w:color w:val="FFFFFF"/>
                <w:sz w:val="20"/>
                <w:szCs w:val="20"/>
              </w:rPr>
            </w:pPr>
            <w:r w:rsidRPr="007715DC">
              <w:rPr>
                <w:rFonts w:ascii="Noto Sans" w:eastAsia="Times New Roman" w:hAnsi="Noto Sans" w:cs="Noto Sans"/>
                <w:b/>
                <w:bCs/>
                <w:color w:val="FFFFFF"/>
                <w:sz w:val="20"/>
                <w:szCs w:val="20"/>
              </w:rPr>
              <w:t>2021</w:t>
            </w:r>
          </w:p>
        </w:tc>
        <w:tc>
          <w:tcPr>
            <w:tcW w:w="1240" w:type="dxa"/>
            <w:tcBorders>
              <w:top w:val="nil"/>
              <w:left w:val="nil"/>
              <w:bottom w:val="nil"/>
              <w:right w:val="nil"/>
            </w:tcBorders>
            <w:shd w:val="clear" w:color="DDEBF7" w:fill="833C0C"/>
            <w:noWrap/>
            <w:vAlign w:val="bottom"/>
            <w:hideMark/>
          </w:tcPr>
          <w:p w:rsidR="00A2360D" w:rsidRPr="007715DC" w:rsidRDefault="00A2360D" w:rsidP="00A2360D">
            <w:pPr>
              <w:jc w:val="center"/>
              <w:rPr>
                <w:rFonts w:ascii="Noto Sans" w:eastAsia="Times New Roman" w:hAnsi="Noto Sans" w:cs="Noto Sans"/>
                <w:b/>
                <w:bCs/>
                <w:color w:val="FFFFFF"/>
                <w:sz w:val="20"/>
                <w:szCs w:val="20"/>
              </w:rPr>
            </w:pPr>
            <w:r w:rsidRPr="007715DC">
              <w:rPr>
                <w:rFonts w:ascii="Noto Sans" w:eastAsia="Times New Roman" w:hAnsi="Noto Sans" w:cs="Noto Sans"/>
                <w:b/>
                <w:bCs/>
                <w:color w:val="FFFFFF"/>
                <w:sz w:val="20"/>
                <w:szCs w:val="20"/>
              </w:rPr>
              <w:t>2022</w:t>
            </w:r>
          </w:p>
        </w:tc>
        <w:tc>
          <w:tcPr>
            <w:tcW w:w="1240" w:type="dxa"/>
            <w:tcBorders>
              <w:top w:val="nil"/>
              <w:left w:val="nil"/>
              <w:bottom w:val="nil"/>
              <w:right w:val="nil"/>
            </w:tcBorders>
            <w:shd w:val="clear" w:color="DDEBF7" w:fill="833C0C"/>
            <w:noWrap/>
            <w:vAlign w:val="bottom"/>
            <w:hideMark/>
          </w:tcPr>
          <w:p w:rsidR="00A2360D" w:rsidRPr="007715DC" w:rsidRDefault="00A2360D" w:rsidP="00A2360D">
            <w:pPr>
              <w:jc w:val="center"/>
              <w:rPr>
                <w:rFonts w:ascii="Noto Sans" w:eastAsia="Times New Roman" w:hAnsi="Noto Sans" w:cs="Noto Sans"/>
                <w:b/>
                <w:bCs/>
                <w:color w:val="FFFFFF"/>
                <w:sz w:val="20"/>
                <w:szCs w:val="20"/>
              </w:rPr>
            </w:pPr>
            <w:r w:rsidRPr="007715DC">
              <w:rPr>
                <w:rFonts w:ascii="Noto Sans" w:eastAsia="Times New Roman" w:hAnsi="Noto Sans" w:cs="Noto Sans"/>
                <w:b/>
                <w:bCs/>
                <w:color w:val="FFFFFF"/>
                <w:sz w:val="20"/>
                <w:szCs w:val="20"/>
              </w:rPr>
              <w:t>2023</w:t>
            </w:r>
          </w:p>
        </w:tc>
      </w:tr>
      <w:tr w:rsidR="00A2360D" w:rsidRPr="007715DC" w:rsidTr="00A2360D">
        <w:trPr>
          <w:trHeight w:val="276"/>
        </w:trPr>
        <w:tc>
          <w:tcPr>
            <w:tcW w:w="3300" w:type="dxa"/>
            <w:gridSpan w:val="2"/>
            <w:tcBorders>
              <w:top w:val="nil"/>
              <w:left w:val="nil"/>
              <w:bottom w:val="nil"/>
              <w:right w:val="nil"/>
            </w:tcBorders>
            <w:shd w:val="clear" w:color="000000" w:fill="D9D9D9"/>
            <w:noWrap/>
            <w:vAlign w:val="bottom"/>
            <w:hideMark/>
          </w:tcPr>
          <w:p w:rsidR="00A2360D" w:rsidRPr="007715DC" w:rsidRDefault="00A2360D" w:rsidP="00A2360D">
            <w:pPr>
              <w:rPr>
                <w:rFonts w:ascii="Noto Sans" w:eastAsia="Times New Roman" w:hAnsi="Noto Sans" w:cs="Noto Sans"/>
                <w:b/>
                <w:bCs/>
                <w:color w:val="000000"/>
                <w:sz w:val="20"/>
                <w:szCs w:val="20"/>
              </w:rPr>
            </w:pPr>
            <w:r w:rsidRPr="007715DC">
              <w:rPr>
                <w:rFonts w:ascii="Noto Sans" w:eastAsia="Times New Roman" w:hAnsi="Noto Sans" w:cs="Noto Sans"/>
                <w:b/>
                <w:bCs/>
                <w:color w:val="000000"/>
                <w:sz w:val="20"/>
                <w:szCs w:val="20"/>
              </w:rPr>
              <w:t xml:space="preserve">Consulta externa </w:t>
            </w:r>
          </w:p>
        </w:tc>
        <w:tc>
          <w:tcPr>
            <w:tcW w:w="1240" w:type="dxa"/>
            <w:tcBorders>
              <w:top w:val="nil"/>
              <w:left w:val="nil"/>
              <w:bottom w:val="nil"/>
              <w:right w:val="nil"/>
            </w:tcBorders>
            <w:shd w:val="clear" w:color="000000" w:fill="D9D9D9"/>
            <w:noWrap/>
            <w:vAlign w:val="bottom"/>
            <w:hideMark/>
          </w:tcPr>
          <w:p w:rsidR="00A2360D" w:rsidRPr="007715DC" w:rsidRDefault="00A2360D" w:rsidP="00A2360D">
            <w:pPr>
              <w:rPr>
                <w:rFonts w:ascii="Noto Sans" w:eastAsia="Times New Roman" w:hAnsi="Noto Sans" w:cs="Noto Sans"/>
                <w:b/>
                <w:bCs/>
                <w:color w:val="000000"/>
                <w:sz w:val="20"/>
                <w:szCs w:val="20"/>
              </w:rPr>
            </w:pPr>
            <w:r w:rsidRPr="007715DC">
              <w:rPr>
                <w:rFonts w:ascii="Noto Sans" w:eastAsia="Times New Roman" w:hAnsi="Noto Sans" w:cs="Noto Sans"/>
                <w:b/>
                <w:bCs/>
                <w:color w:val="000000"/>
                <w:sz w:val="20"/>
                <w:szCs w:val="20"/>
              </w:rPr>
              <w:t> </w:t>
            </w:r>
          </w:p>
        </w:tc>
        <w:tc>
          <w:tcPr>
            <w:tcW w:w="1240" w:type="dxa"/>
            <w:tcBorders>
              <w:top w:val="nil"/>
              <w:left w:val="nil"/>
              <w:bottom w:val="nil"/>
              <w:right w:val="nil"/>
            </w:tcBorders>
            <w:shd w:val="clear" w:color="000000" w:fill="D9D9D9"/>
            <w:noWrap/>
            <w:vAlign w:val="bottom"/>
            <w:hideMark/>
          </w:tcPr>
          <w:p w:rsidR="00A2360D" w:rsidRPr="007715DC" w:rsidRDefault="00A2360D" w:rsidP="00A2360D">
            <w:pPr>
              <w:rPr>
                <w:rFonts w:ascii="Noto Sans" w:eastAsia="Times New Roman" w:hAnsi="Noto Sans" w:cs="Noto Sans"/>
                <w:b/>
                <w:bCs/>
                <w:color w:val="000000"/>
                <w:sz w:val="20"/>
                <w:szCs w:val="20"/>
              </w:rPr>
            </w:pPr>
            <w:r w:rsidRPr="007715DC">
              <w:rPr>
                <w:rFonts w:ascii="Noto Sans" w:eastAsia="Times New Roman" w:hAnsi="Noto Sans" w:cs="Noto Sans"/>
                <w:b/>
                <w:bCs/>
                <w:color w:val="000000"/>
                <w:sz w:val="20"/>
                <w:szCs w:val="20"/>
              </w:rPr>
              <w:t> </w:t>
            </w:r>
          </w:p>
        </w:tc>
        <w:tc>
          <w:tcPr>
            <w:tcW w:w="1240" w:type="dxa"/>
            <w:tcBorders>
              <w:top w:val="nil"/>
              <w:left w:val="nil"/>
              <w:bottom w:val="nil"/>
              <w:right w:val="nil"/>
            </w:tcBorders>
            <w:shd w:val="clear" w:color="000000" w:fill="D9D9D9"/>
            <w:noWrap/>
            <w:vAlign w:val="bottom"/>
            <w:hideMark/>
          </w:tcPr>
          <w:p w:rsidR="00A2360D" w:rsidRPr="007715DC" w:rsidRDefault="00A2360D" w:rsidP="00A2360D">
            <w:pPr>
              <w:rPr>
                <w:rFonts w:ascii="Noto Sans" w:eastAsia="Times New Roman" w:hAnsi="Noto Sans" w:cs="Noto Sans"/>
                <w:b/>
                <w:bCs/>
                <w:color w:val="000000"/>
                <w:sz w:val="20"/>
                <w:szCs w:val="20"/>
              </w:rPr>
            </w:pPr>
            <w:r w:rsidRPr="007715DC">
              <w:rPr>
                <w:rFonts w:ascii="Noto Sans" w:eastAsia="Times New Roman" w:hAnsi="Noto Sans" w:cs="Noto Sans"/>
                <w:b/>
                <w:bCs/>
                <w:color w:val="000000"/>
                <w:sz w:val="20"/>
                <w:szCs w:val="20"/>
              </w:rPr>
              <w:t> </w:t>
            </w:r>
          </w:p>
        </w:tc>
        <w:tc>
          <w:tcPr>
            <w:tcW w:w="1240" w:type="dxa"/>
            <w:tcBorders>
              <w:top w:val="nil"/>
              <w:left w:val="nil"/>
              <w:bottom w:val="nil"/>
              <w:right w:val="nil"/>
            </w:tcBorders>
            <w:shd w:val="clear" w:color="000000" w:fill="D9D9D9"/>
            <w:noWrap/>
            <w:vAlign w:val="bottom"/>
            <w:hideMark/>
          </w:tcPr>
          <w:p w:rsidR="00A2360D" w:rsidRPr="007715DC" w:rsidRDefault="00A2360D" w:rsidP="00A2360D">
            <w:pPr>
              <w:rPr>
                <w:rFonts w:ascii="Noto Sans" w:eastAsia="Times New Roman" w:hAnsi="Noto Sans" w:cs="Noto Sans"/>
                <w:b/>
                <w:bCs/>
                <w:color w:val="000000"/>
                <w:sz w:val="20"/>
                <w:szCs w:val="20"/>
              </w:rPr>
            </w:pPr>
            <w:r w:rsidRPr="007715DC">
              <w:rPr>
                <w:rFonts w:ascii="Noto Sans" w:eastAsia="Times New Roman" w:hAnsi="Noto Sans" w:cs="Noto Sans"/>
                <w:b/>
                <w:bCs/>
                <w:color w:val="000000"/>
                <w:sz w:val="20"/>
                <w:szCs w:val="20"/>
              </w:rPr>
              <w:t> </w:t>
            </w:r>
          </w:p>
        </w:tc>
      </w:tr>
      <w:tr w:rsidR="00A2360D" w:rsidRPr="007715DC" w:rsidTr="00A2360D">
        <w:trPr>
          <w:trHeight w:val="276"/>
        </w:trPr>
        <w:tc>
          <w:tcPr>
            <w:tcW w:w="206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ind w:firstLineChars="100" w:firstLine="200"/>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V</w:t>
            </w:r>
          </w:p>
        </w:tc>
        <w:tc>
          <w:tcPr>
            <w:tcW w:w="124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184,349 </w:t>
            </w:r>
          </w:p>
        </w:tc>
        <w:tc>
          <w:tcPr>
            <w:tcW w:w="124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72,720 </w:t>
            </w:r>
          </w:p>
        </w:tc>
        <w:tc>
          <w:tcPr>
            <w:tcW w:w="124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89,105 </w:t>
            </w:r>
          </w:p>
        </w:tc>
        <w:tc>
          <w:tcPr>
            <w:tcW w:w="124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155,013 </w:t>
            </w:r>
          </w:p>
        </w:tc>
        <w:tc>
          <w:tcPr>
            <w:tcW w:w="124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184,315 </w:t>
            </w:r>
          </w:p>
        </w:tc>
      </w:tr>
      <w:tr w:rsidR="00A2360D" w:rsidRPr="007715DC" w:rsidTr="00A2360D">
        <w:trPr>
          <w:trHeight w:val="276"/>
        </w:trPr>
        <w:tc>
          <w:tcPr>
            <w:tcW w:w="2060" w:type="dxa"/>
            <w:tcBorders>
              <w:top w:val="nil"/>
              <w:left w:val="nil"/>
              <w:bottom w:val="single" w:sz="4" w:space="0" w:color="D9D9D9"/>
              <w:right w:val="nil"/>
            </w:tcBorders>
            <w:shd w:val="clear" w:color="auto" w:fill="auto"/>
            <w:noWrap/>
            <w:vAlign w:val="bottom"/>
            <w:hideMark/>
          </w:tcPr>
          <w:p w:rsidR="00A2360D" w:rsidRPr="007715DC" w:rsidRDefault="00A2360D" w:rsidP="00A2360D">
            <w:pPr>
              <w:ind w:firstLineChars="100" w:firstLine="200"/>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II</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42,017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43,962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46,048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58,284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62,784 </w:t>
            </w:r>
          </w:p>
        </w:tc>
      </w:tr>
      <w:tr w:rsidR="00A2360D" w:rsidRPr="007715DC" w:rsidTr="00A2360D">
        <w:trPr>
          <w:trHeight w:val="276"/>
        </w:trPr>
        <w:tc>
          <w:tcPr>
            <w:tcW w:w="2060" w:type="dxa"/>
            <w:tcBorders>
              <w:top w:val="nil"/>
              <w:left w:val="nil"/>
              <w:bottom w:val="single" w:sz="4" w:space="0" w:color="D9D9D9"/>
              <w:right w:val="nil"/>
            </w:tcBorders>
            <w:shd w:val="clear" w:color="auto" w:fill="auto"/>
            <w:noWrap/>
            <w:vAlign w:val="bottom"/>
            <w:hideMark/>
          </w:tcPr>
          <w:p w:rsidR="00A2360D" w:rsidRPr="007715DC" w:rsidRDefault="00A2360D" w:rsidP="00A2360D">
            <w:pPr>
              <w:ind w:firstLineChars="100" w:firstLine="200"/>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IV</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21,473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12,371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17,545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30,483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55,675 </w:t>
            </w:r>
          </w:p>
        </w:tc>
      </w:tr>
      <w:tr w:rsidR="00A2360D" w:rsidRPr="007715DC" w:rsidTr="00A2360D">
        <w:trPr>
          <w:trHeight w:val="276"/>
        </w:trPr>
        <w:tc>
          <w:tcPr>
            <w:tcW w:w="3300" w:type="dxa"/>
            <w:gridSpan w:val="2"/>
            <w:tcBorders>
              <w:top w:val="nil"/>
              <w:left w:val="nil"/>
              <w:bottom w:val="nil"/>
              <w:right w:val="nil"/>
            </w:tcBorders>
            <w:shd w:val="clear" w:color="000000" w:fill="D9D9D9"/>
            <w:noWrap/>
            <w:vAlign w:val="bottom"/>
            <w:hideMark/>
          </w:tcPr>
          <w:p w:rsidR="00A2360D" w:rsidRPr="007715DC" w:rsidRDefault="00A2360D" w:rsidP="00A2360D">
            <w:pPr>
              <w:rPr>
                <w:rFonts w:ascii="Noto Sans" w:eastAsia="Times New Roman" w:hAnsi="Noto Sans" w:cs="Noto Sans"/>
                <w:b/>
                <w:bCs/>
                <w:color w:val="000000"/>
                <w:sz w:val="20"/>
                <w:szCs w:val="20"/>
              </w:rPr>
            </w:pPr>
            <w:r w:rsidRPr="007715DC">
              <w:rPr>
                <w:rFonts w:ascii="Noto Sans" w:eastAsia="Times New Roman" w:hAnsi="Noto Sans" w:cs="Noto Sans"/>
                <w:b/>
                <w:bCs/>
                <w:color w:val="000000"/>
                <w:sz w:val="20"/>
                <w:szCs w:val="20"/>
              </w:rPr>
              <w:t>Hospitalización</w:t>
            </w:r>
          </w:p>
        </w:tc>
        <w:tc>
          <w:tcPr>
            <w:tcW w:w="1240" w:type="dxa"/>
            <w:tcBorders>
              <w:top w:val="nil"/>
              <w:left w:val="nil"/>
              <w:bottom w:val="nil"/>
              <w:right w:val="nil"/>
            </w:tcBorders>
            <w:shd w:val="clear" w:color="000000" w:fill="D9D9D9"/>
            <w:noWrap/>
            <w:vAlign w:val="bottom"/>
            <w:hideMark/>
          </w:tcPr>
          <w:p w:rsidR="00A2360D" w:rsidRPr="007715DC" w:rsidRDefault="00A2360D" w:rsidP="00A2360D">
            <w:pPr>
              <w:rPr>
                <w:rFonts w:ascii="Noto Sans" w:eastAsia="Times New Roman" w:hAnsi="Noto Sans" w:cs="Noto Sans"/>
                <w:b/>
                <w:bCs/>
                <w:color w:val="000000"/>
                <w:sz w:val="20"/>
                <w:szCs w:val="20"/>
              </w:rPr>
            </w:pPr>
            <w:r w:rsidRPr="007715DC">
              <w:rPr>
                <w:rFonts w:ascii="Noto Sans" w:eastAsia="Times New Roman" w:hAnsi="Noto Sans" w:cs="Noto Sans"/>
                <w:b/>
                <w:bCs/>
                <w:color w:val="000000"/>
                <w:sz w:val="20"/>
                <w:szCs w:val="20"/>
              </w:rPr>
              <w:t> </w:t>
            </w:r>
          </w:p>
        </w:tc>
        <w:tc>
          <w:tcPr>
            <w:tcW w:w="1240" w:type="dxa"/>
            <w:tcBorders>
              <w:top w:val="nil"/>
              <w:left w:val="nil"/>
              <w:bottom w:val="nil"/>
              <w:right w:val="nil"/>
            </w:tcBorders>
            <w:shd w:val="clear" w:color="000000" w:fill="D9D9D9"/>
            <w:noWrap/>
            <w:vAlign w:val="bottom"/>
            <w:hideMark/>
          </w:tcPr>
          <w:p w:rsidR="00A2360D" w:rsidRPr="007715DC" w:rsidRDefault="00A2360D" w:rsidP="00A2360D">
            <w:pPr>
              <w:rPr>
                <w:rFonts w:ascii="Noto Sans" w:eastAsia="Times New Roman" w:hAnsi="Noto Sans" w:cs="Noto Sans"/>
                <w:b/>
                <w:bCs/>
                <w:color w:val="000000"/>
                <w:sz w:val="20"/>
                <w:szCs w:val="20"/>
              </w:rPr>
            </w:pPr>
            <w:r w:rsidRPr="007715DC">
              <w:rPr>
                <w:rFonts w:ascii="Noto Sans" w:eastAsia="Times New Roman" w:hAnsi="Noto Sans" w:cs="Noto Sans"/>
                <w:b/>
                <w:bCs/>
                <w:color w:val="000000"/>
                <w:sz w:val="20"/>
                <w:szCs w:val="20"/>
              </w:rPr>
              <w:t> </w:t>
            </w:r>
          </w:p>
        </w:tc>
        <w:tc>
          <w:tcPr>
            <w:tcW w:w="1240" w:type="dxa"/>
            <w:tcBorders>
              <w:top w:val="nil"/>
              <w:left w:val="nil"/>
              <w:bottom w:val="nil"/>
              <w:right w:val="nil"/>
            </w:tcBorders>
            <w:shd w:val="clear" w:color="000000" w:fill="D9D9D9"/>
            <w:noWrap/>
            <w:vAlign w:val="bottom"/>
            <w:hideMark/>
          </w:tcPr>
          <w:p w:rsidR="00A2360D" w:rsidRPr="007715DC" w:rsidRDefault="00A2360D" w:rsidP="00A2360D">
            <w:pPr>
              <w:rPr>
                <w:rFonts w:ascii="Noto Sans" w:eastAsia="Times New Roman" w:hAnsi="Noto Sans" w:cs="Noto Sans"/>
                <w:b/>
                <w:bCs/>
                <w:color w:val="000000"/>
                <w:sz w:val="20"/>
                <w:szCs w:val="20"/>
              </w:rPr>
            </w:pPr>
            <w:r w:rsidRPr="007715DC">
              <w:rPr>
                <w:rFonts w:ascii="Noto Sans" w:eastAsia="Times New Roman" w:hAnsi="Noto Sans" w:cs="Noto Sans"/>
                <w:b/>
                <w:bCs/>
                <w:color w:val="000000"/>
                <w:sz w:val="20"/>
                <w:szCs w:val="20"/>
              </w:rPr>
              <w:t> </w:t>
            </w:r>
          </w:p>
        </w:tc>
        <w:tc>
          <w:tcPr>
            <w:tcW w:w="1240" w:type="dxa"/>
            <w:tcBorders>
              <w:top w:val="nil"/>
              <w:left w:val="nil"/>
              <w:bottom w:val="nil"/>
              <w:right w:val="nil"/>
            </w:tcBorders>
            <w:shd w:val="clear" w:color="000000" w:fill="D9D9D9"/>
            <w:noWrap/>
            <w:vAlign w:val="bottom"/>
            <w:hideMark/>
          </w:tcPr>
          <w:p w:rsidR="00A2360D" w:rsidRPr="007715DC" w:rsidRDefault="00A2360D" w:rsidP="00A2360D">
            <w:pPr>
              <w:rPr>
                <w:rFonts w:ascii="Noto Sans" w:eastAsia="Times New Roman" w:hAnsi="Noto Sans" w:cs="Noto Sans"/>
                <w:b/>
                <w:bCs/>
                <w:color w:val="000000"/>
                <w:sz w:val="20"/>
                <w:szCs w:val="20"/>
              </w:rPr>
            </w:pPr>
            <w:r w:rsidRPr="007715DC">
              <w:rPr>
                <w:rFonts w:ascii="Noto Sans" w:eastAsia="Times New Roman" w:hAnsi="Noto Sans" w:cs="Noto Sans"/>
                <w:b/>
                <w:bCs/>
                <w:color w:val="000000"/>
                <w:sz w:val="20"/>
                <w:szCs w:val="20"/>
              </w:rPr>
              <w:t> </w:t>
            </w:r>
          </w:p>
        </w:tc>
      </w:tr>
      <w:tr w:rsidR="00A2360D" w:rsidRPr="007715DC" w:rsidTr="00A2360D">
        <w:trPr>
          <w:trHeight w:val="276"/>
        </w:trPr>
        <w:tc>
          <w:tcPr>
            <w:tcW w:w="206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ind w:firstLineChars="100" w:firstLine="200"/>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II</w:t>
            </w:r>
          </w:p>
        </w:tc>
        <w:tc>
          <w:tcPr>
            <w:tcW w:w="124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13,019 </w:t>
            </w:r>
          </w:p>
        </w:tc>
        <w:tc>
          <w:tcPr>
            <w:tcW w:w="124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10,069 </w:t>
            </w:r>
          </w:p>
        </w:tc>
        <w:tc>
          <w:tcPr>
            <w:tcW w:w="124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10,423 </w:t>
            </w:r>
          </w:p>
        </w:tc>
        <w:tc>
          <w:tcPr>
            <w:tcW w:w="124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11,422 </w:t>
            </w:r>
          </w:p>
        </w:tc>
        <w:tc>
          <w:tcPr>
            <w:tcW w:w="124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11,712 </w:t>
            </w:r>
          </w:p>
        </w:tc>
      </w:tr>
      <w:tr w:rsidR="00A2360D" w:rsidRPr="007715DC" w:rsidTr="00A2360D">
        <w:trPr>
          <w:trHeight w:val="276"/>
        </w:trPr>
        <w:tc>
          <w:tcPr>
            <w:tcW w:w="2060" w:type="dxa"/>
            <w:tcBorders>
              <w:top w:val="nil"/>
              <w:left w:val="nil"/>
              <w:bottom w:val="single" w:sz="4" w:space="0" w:color="D9D9D9"/>
              <w:right w:val="nil"/>
            </w:tcBorders>
            <w:shd w:val="clear" w:color="auto" w:fill="auto"/>
            <w:noWrap/>
            <w:vAlign w:val="bottom"/>
            <w:hideMark/>
          </w:tcPr>
          <w:p w:rsidR="00A2360D" w:rsidRPr="007715DC" w:rsidRDefault="00A2360D" w:rsidP="00A2360D">
            <w:pPr>
              <w:ind w:firstLineChars="100" w:firstLine="200"/>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XIV</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7,469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3,129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3,293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5,356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6,094 </w:t>
            </w:r>
          </w:p>
        </w:tc>
      </w:tr>
      <w:tr w:rsidR="00A2360D" w:rsidRPr="007715DC" w:rsidTr="00A2360D">
        <w:trPr>
          <w:trHeight w:val="276"/>
        </w:trPr>
        <w:tc>
          <w:tcPr>
            <w:tcW w:w="2060" w:type="dxa"/>
            <w:tcBorders>
              <w:top w:val="nil"/>
              <w:left w:val="nil"/>
              <w:bottom w:val="single" w:sz="4" w:space="0" w:color="D9D9D9"/>
              <w:right w:val="nil"/>
            </w:tcBorders>
            <w:shd w:val="clear" w:color="auto" w:fill="auto"/>
            <w:noWrap/>
            <w:vAlign w:val="bottom"/>
            <w:hideMark/>
          </w:tcPr>
          <w:p w:rsidR="00A2360D" w:rsidRPr="007715DC" w:rsidRDefault="00A2360D" w:rsidP="00A2360D">
            <w:pPr>
              <w:ind w:firstLineChars="100" w:firstLine="200"/>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XV</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6,062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2,369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2,889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4,650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5,154 </w:t>
            </w:r>
          </w:p>
        </w:tc>
      </w:tr>
      <w:tr w:rsidR="00A2360D" w:rsidRPr="007715DC" w:rsidTr="00A2360D">
        <w:trPr>
          <w:trHeight w:val="276"/>
        </w:trPr>
        <w:tc>
          <w:tcPr>
            <w:tcW w:w="2060" w:type="dxa"/>
            <w:tcBorders>
              <w:top w:val="nil"/>
              <w:left w:val="nil"/>
              <w:bottom w:val="nil"/>
              <w:right w:val="nil"/>
            </w:tcBorders>
            <w:shd w:val="clear" w:color="000000" w:fill="D9D9D9"/>
            <w:noWrap/>
            <w:vAlign w:val="bottom"/>
            <w:hideMark/>
          </w:tcPr>
          <w:p w:rsidR="00A2360D" w:rsidRPr="007715DC" w:rsidRDefault="00A2360D" w:rsidP="00A2360D">
            <w:pPr>
              <w:rPr>
                <w:rFonts w:ascii="Noto Sans" w:eastAsia="Times New Roman" w:hAnsi="Noto Sans" w:cs="Noto Sans"/>
                <w:b/>
                <w:bCs/>
                <w:color w:val="000000"/>
                <w:sz w:val="20"/>
                <w:szCs w:val="20"/>
              </w:rPr>
            </w:pPr>
            <w:r w:rsidRPr="007715DC">
              <w:rPr>
                <w:rFonts w:ascii="Noto Sans" w:eastAsia="Times New Roman" w:hAnsi="Noto Sans" w:cs="Noto Sans"/>
                <w:b/>
                <w:bCs/>
                <w:color w:val="000000"/>
                <w:sz w:val="20"/>
                <w:szCs w:val="20"/>
              </w:rPr>
              <w:t>Urgencias</w:t>
            </w:r>
          </w:p>
        </w:tc>
        <w:tc>
          <w:tcPr>
            <w:tcW w:w="1240" w:type="dxa"/>
            <w:tcBorders>
              <w:top w:val="nil"/>
              <w:left w:val="nil"/>
              <w:bottom w:val="nil"/>
              <w:right w:val="nil"/>
            </w:tcBorders>
            <w:shd w:val="clear" w:color="000000" w:fill="D9D9D9"/>
            <w:noWrap/>
            <w:vAlign w:val="bottom"/>
            <w:hideMark/>
          </w:tcPr>
          <w:p w:rsidR="00A2360D" w:rsidRPr="007715DC" w:rsidRDefault="00A2360D" w:rsidP="00A2360D">
            <w:pPr>
              <w:rPr>
                <w:rFonts w:ascii="Noto Sans" w:eastAsia="Times New Roman" w:hAnsi="Noto Sans" w:cs="Noto Sans"/>
                <w:b/>
                <w:bCs/>
                <w:color w:val="000000"/>
                <w:sz w:val="20"/>
                <w:szCs w:val="20"/>
              </w:rPr>
            </w:pPr>
            <w:r w:rsidRPr="007715DC">
              <w:rPr>
                <w:rFonts w:ascii="Noto Sans" w:eastAsia="Times New Roman" w:hAnsi="Noto Sans" w:cs="Noto Sans"/>
                <w:b/>
                <w:bCs/>
                <w:color w:val="000000"/>
                <w:sz w:val="20"/>
                <w:szCs w:val="20"/>
              </w:rPr>
              <w:t> </w:t>
            </w:r>
          </w:p>
        </w:tc>
        <w:tc>
          <w:tcPr>
            <w:tcW w:w="1240" w:type="dxa"/>
            <w:tcBorders>
              <w:top w:val="nil"/>
              <w:left w:val="nil"/>
              <w:bottom w:val="nil"/>
              <w:right w:val="nil"/>
            </w:tcBorders>
            <w:shd w:val="clear" w:color="000000" w:fill="D9D9D9"/>
            <w:noWrap/>
            <w:vAlign w:val="bottom"/>
            <w:hideMark/>
          </w:tcPr>
          <w:p w:rsidR="00A2360D" w:rsidRPr="007715DC" w:rsidRDefault="00A2360D" w:rsidP="00A2360D">
            <w:pPr>
              <w:rPr>
                <w:rFonts w:ascii="Noto Sans" w:eastAsia="Times New Roman" w:hAnsi="Noto Sans" w:cs="Noto Sans"/>
                <w:b/>
                <w:bCs/>
                <w:color w:val="000000"/>
                <w:sz w:val="20"/>
                <w:szCs w:val="20"/>
              </w:rPr>
            </w:pPr>
            <w:r w:rsidRPr="007715DC">
              <w:rPr>
                <w:rFonts w:ascii="Noto Sans" w:eastAsia="Times New Roman" w:hAnsi="Noto Sans" w:cs="Noto Sans"/>
                <w:b/>
                <w:bCs/>
                <w:color w:val="000000"/>
                <w:sz w:val="20"/>
                <w:szCs w:val="20"/>
              </w:rPr>
              <w:t> </w:t>
            </w:r>
          </w:p>
        </w:tc>
        <w:tc>
          <w:tcPr>
            <w:tcW w:w="1240" w:type="dxa"/>
            <w:tcBorders>
              <w:top w:val="nil"/>
              <w:left w:val="nil"/>
              <w:bottom w:val="nil"/>
              <w:right w:val="nil"/>
            </w:tcBorders>
            <w:shd w:val="clear" w:color="000000" w:fill="D9D9D9"/>
            <w:noWrap/>
            <w:vAlign w:val="bottom"/>
            <w:hideMark/>
          </w:tcPr>
          <w:p w:rsidR="00A2360D" w:rsidRPr="007715DC" w:rsidRDefault="00A2360D" w:rsidP="00A2360D">
            <w:pPr>
              <w:rPr>
                <w:rFonts w:ascii="Noto Sans" w:eastAsia="Times New Roman" w:hAnsi="Noto Sans" w:cs="Noto Sans"/>
                <w:b/>
                <w:bCs/>
                <w:color w:val="000000"/>
                <w:sz w:val="20"/>
                <w:szCs w:val="20"/>
              </w:rPr>
            </w:pPr>
            <w:r w:rsidRPr="007715DC">
              <w:rPr>
                <w:rFonts w:ascii="Noto Sans" w:eastAsia="Times New Roman" w:hAnsi="Noto Sans" w:cs="Noto Sans"/>
                <w:b/>
                <w:bCs/>
                <w:color w:val="000000"/>
                <w:sz w:val="20"/>
                <w:szCs w:val="20"/>
              </w:rPr>
              <w:t> </w:t>
            </w:r>
          </w:p>
        </w:tc>
        <w:tc>
          <w:tcPr>
            <w:tcW w:w="1240" w:type="dxa"/>
            <w:tcBorders>
              <w:top w:val="nil"/>
              <w:left w:val="nil"/>
              <w:bottom w:val="nil"/>
              <w:right w:val="nil"/>
            </w:tcBorders>
            <w:shd w:val="clear" w:color="000000" w:fill="D9D9D9"/>
            <w:noWrap/>
            <w:vAlign w:val="bottom"/>
            <w:hideMark/>
          </w:tcPr>
          <w:p w:rsidR="00A2360D" w:rsidRPr="007715DC" w:rsidRDefault="00A2360D" w:rsidP="00A2360D">
            <w:pPr>
              <w:rPr>
                <w:rFonts w:ascii="Noto Sans" w:eastAsia="Times New Roman" w:hAnsi="Noto Sans" w:cs="Noto Sans"/>
                <w:b/>
                <w:bCs/>
                <w:color w:val="000000"/>
                <w:sz w:val="20"/>
                <w:szCs w:val="20"/>
              </w:rPr>
            </w:pPr>
            <w:r w:rsidRPr="007715DC">
              <w:rPr>
                <w:rFonts w:ascii="Noto Sans" w:eastAsia="Times New Roman" w:hAnsi="Noto Sans" w:cs="Noto Sans"/>
                <w:b/>
                <w:bCs/>
                <w:color w:val="000000"/>
                <w:sz w:val="20"/>
                <w:szCs w:val="20"/>
              </w:rPr>
              <w:t> </w:t>
            </w:r>
          </w:p>
        </w:tc>
        <w:tc>
          <w:tcPr>
            <w:tcW w:w="1240" w:type="dxa"/>
            <w:tcBorders>
              <w:top w:val="nil"/>
              <w:left w:val="nil"/>
              <w:bottom w:val="nil"/>
              <w:right w:val="nil"/>
            </w:tcBorders>
            <w:shd w:val="clear" w:color="000000" w:fill="D9D9D9"/>
            <w:noWrap/>
            <w:vAlign w:val="bottom"/>
            <w:hideMark/>
          </w:tcPr>
          <w:p w:rsidR="00A2360D" w:rsidRPr="007715DC" w:rsidRDefault="00A2360D" w:rsidP="00A2360D">
            <w:pPr>
              <w:rPr>
                <w:rFonts w:ascii="Noto Sans" w:eastAsia="Times New Roman" w:hAnsi="Noto Sans" w:cs="Noto Sans"/>
                <w:b/>
                <w:bCs/>
                <w:color w:val="000000"/>
                <w:sz w:val="20"/>
                <w:szCs w:val="20"/>
              </w:rPr>
            </w:pPr>
            <w:r w:rsidRPr="007715DC">
              <w:rPr>
                <w:rFonts w:ascii="Noto Sans" w:eastAsia="Times New Roman" w:hAnsi="Noto Sans" w:cs="Noto Sans"/>
                <w:b/>
                <w:bCs/>
                <w:color w:val="000000"/>
                <w:sz w:val="20"/>
                <w:szCs w:val="20"/>
              </w:rPr>
              <w:t> </w:t>
            </w:r>
          </w:p>
        </w:tc>
      </w:tr>
      <w:tr w:rsidR="00A2360D" w:rsidRPr="007715DC" w:rsidTr="00A2360D">
        <w:trPr>
          <w:trHeight w:val="276"/>
        </w:trPr>
        <w:tc>
          <w:tcPr>
            <w:tcW w:w="206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ind w:firstLineChars="100" w:firstLine="200"/>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V</w:t>
            </w:r>
          </w:p>
        </w:tc>
        <w:tc>
          <w:tcPr>
            <w:tcW w:w="124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23,778 </w:t>
            </w:r>
          </w:p>
        </w:tc>
        <w:tc>
          <w:tcPr>
            <w:tcW w:w="124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20,498 </w:t>
            </w:r>
          </w:p>
        </w:tc>
        <w:tc>
          <w:tcPr>
            <w:tcW w:w="124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21,547 </w:t>
            </w:r>
          </w:p>
        </w:tc>
        <w:tc>
          <w:tcPr>
            <w:tcW w:w="124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25,372 </w:t>
            </w:r>
          </w:p>
        </w:tc>
        <w:tc>
          <w:tcPr>
            <w:tcW w:w="1240" w:type="dxa"/>
            <w:tcBorders>
              <w:top w:val="single" w:sz="4" w:space="0" w:color="D9D9D9"/>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23,302 </w:t>
            </w:r>
          </w:p>
        </w:tc>
      </w:tr>
      <w:tr w:rsidR="00A2360D" w:rsidRPr="007715DC" w:rsidTr="00A2360D">
        <w:trPr>
          <w:trHeight w:val="276"/>
        </w:trPr>
        <w:tc>
          <w:tcPr>
            <w:tcW w:w="2060" w:type="dxa"/>
            <w:tcBorders>
              <w:top w:val="nil"/>
              <w:left w:val="nil"/>
              <w:bottom w:val="single" w:sz="4" w:space="0" w:color="D9D9D9"/>
              <w:right w:val="nil"/>
            </w:tcBorders>
            <w:shd w:val="clear" w:color="auto" w:fill="auto"/>
            <w:noWrap/>
            <w:vAlign w:val="bottom"/>
            <w:hideMark/>
          </w:tcPr>
          <w:p w:rsidR="00A2360D" w:rsidRPr="007715DC" w:rsidRDefault="00A2360D" w:rsidP="00A2360D">
            <w:pPr>
              <w:ind w:firstLineChars="100" w:firstLine="200"/>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XVIII</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21,031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11,511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14,835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19,437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32,527 </w:t>
            </w:r>
          </w:p>
        </w:tc>
      </w:tr>
      <w:tr w:rsidR="00A2360D" w:rsidRPr="007715DC" w:rsidTr="00A2360D">
        <w:trPr>
          <w:trHeight w:val="276"/>
        </w:trPr>
        <w:tc>
          <w:tcPr>
            <w:tcW w:w="2060" w:type="dxa"/>
            <w:tcBorders>
              <w:top w:val="nil"/>
              <w:left w:val="nil"/>
              <w:bottom w:val="single" w:sz="4" w:space="0" w:color="D9D9D9"/>
              <w:right w:val="nil"/>
            </w:tcBorders>
            <w:shd w:val="clear" w:color="auto" w:fill="auto"/>
            <w:noWrap/>
            <w:vAlign w:val="bottom"/>
            <w:hideMark/>
          </w:tcPr>
          <w:p w:rsidR="00A2360D" w:rsidRPr="007715DC" w:rsidRDefault="00A2360D" w:rsidP="00A2360D">
            <w:pPr>
              <w:ind w:firstLineChars="100" w:firstLine="200"/>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XXI</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10,813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5,194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4,141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28,305 </w:t>
            </w:r>
          </w:p>
        </w:tc>
        <w:tc>
          <w:tcPr>
            <w:tcW w:w="1240" w:type="dxa"/>
            <w:tcBorders>
              <w:top w:val="nil"/>
              <w:left w:val="nil"/>
              <w:bottom w:val="single" w:sz="4" w:space="0" w:color="D9D9D9"/>
              <w:right w:val="nil"/>
            </w:tcBorders>
            <w:shd w:val="clear" w:color="auto" w:fill="auto"/>
            <w:noWrap/>
            <w:vAlign w:val="bottom"/>
            <w:hideMark/>
          </w:tcPr>
          <w:p w:rsidR="00A2360D" w:rsidRPr="007715DC" w:rsidRDefault="00A2360D" w:rsidP="00A2360D">
            <w:pPr>
              <w:rPr>
                <w:rFonts w:ascii="Noto Sans" w:eastAsia="Times New Roman" w:hAnsi="Noto Sans" w:cs="Noto Sans"/>
                <w:color w:val="000000"/>
                <w:sz w:val="20"/>
                <w:szCs w:val="20"/>
              </w:rPr>
            </w:pPr>
            <w:r w:rsidRPr="007715DC">
              <w:rPr>
                <w:rFonts w:ascii="Noto Sans" w:eastAsia="Times New Roman" w:hAnsi="Noto Sans" w:cs="Noto Sans"/>
                <w:color w:val="000000"/>
                <w:sz w:val="20"/>
                <w:szCs w:val="20"/>
              </w:rPr>
              <w:t xml:space="preserve">    38,677 </w:t>
            </w:r>
          </w:p>
        </w:tc>
      </w:tr>
    </w:tbl>
    <w:p w:rsidR="00A2360D" w:rsidRPr="0047528A" w:rsidRDefault="00A2360D" w:rsidP="00A2360D">
      <w:pPr>
        <w:jc w:val="both"/>
        <w:rPr>
          <w:rFonts w:ascii="Noto Sans" w:eastAsia="Times New Roman" w:hAnsi="Noto Sans" w:cs="Noto Sans"/>
          <w:i/>
          <w:color w:val="000000"/>
          <w:sz w:val="16"/>
          <w:szCs w:val="20"/>
        </w:rPr>
      </w:pPr>
      <w:r w:rsidRPr="0047528A">
        <w:rPr>
          <w:rFonts w:ascii="Noto Sans" w:eastAsia="Times New Roman" w:hAnsi="Noto Sans" w:cs="Noto Sans"/>
          <w:i/>
          <w:color w:val="000000"/>
          <w:sz w:val="16"/>
          <w:szCs w:val="20"/>
        </w:rPr>
        <w:t>No incluye datos del Instituto Nacional de Neurología y Neurocirugía Manuel Velasco Suárez, Instituto Nacional de Perinatología Isidro Espinosa de los Reyes y Hospital de la Mujer.</w:t>
      </w:r>
    </w:p>
    <w:p w:rsidR="00A2360D" w:rsidRPr="0047528A" w:rsidRDefault="00A2360D" w:rsidP="00A2360D">
      <w:pPr>
        <w:spacing w:after="160" w:line="259" w:lineRule="auto"/>
        <w:jc w:val="both"/>
        <w:rPr>
          <w:rFonts w:ascii="Noto Sans" w:hAnsi="Noto Sans" w:cs="Noto Sans"/>
          <w:i/>
          <w:sz w:val="16"/>
          <w:szCs w:val="20"/>
        </w:rPr>
      </w:pPr>
      <w:r w:rsidRPr="0047528A">
        <w:rPr>
          <w:rFonts w:ascii="Noto Sans" w:eastAsia="Times New Roman" w:hAnsi="Noto Sans" w:cs="Noto Sans"/>
          <w:i/>
          <w:color w:val="000000"/>
          <w:sz w:val="16"/>
          <w:szCs w:val="20"/>
        </w:rPr>
        <w:t>Fuente: elaboración propia con datos de las Unidades Responsables tomando en consideración los datos a las 10 principales causas de morbilidad de cada una</w:t>
      </w:r>
    </w:p>
    <w:p w:rsidR="00A2360D" w:rsidRPr="007715DC" w:rsidRDefault="00A2360D" w:rsidP="009E77FF">
      <w:pPr>
        <w:spacing w:before="120" w:after="120" w:line="276" w:lineRule="auto"/>
        <w:jc w:val="both"/>
        <w:rPr>
          <w:rFonts w:ascii="Noto Sans" w:hAnsi="Noto Sans" w:cs="Noto Sans"/>
          <w:sz w:val="20"/>
          <w:szCs w:val="20"/>
        </w:rPr>
      </w:pPr>
    </w:p>
    <w:p w:rsidR="001078C6" w:rsidRPr="007715DC" w:rsidRDefault="00B70D5C" w:rsidP="005E6276">
      <w:pPr>
        <w:pStyle w:val="Ttulo1"/>
        <w:numPr>
          <w:ilvl w:val="0"/>
          <w:numId w:val="1"/>
        </w:numPr>
        <w:spacing w:before="120" w:after="120" w:line="276" w:lineRule="auto"/>
        <w:rPr>
          <w:rFonts w:ascii="Noto Sans" w:hAnsi="Noto Sans" w:cs="Noto Sans"/>
          <w:b/>
          <w:color w:val="1E5B4F"/>
          <w:sz w:val="20"/>
          <w:szCs w:val="20"/>
        </w:rPr>
      </w:pPr>
      <w:bookmarkStart w:id="3" w:name="_Toc201830220"/>
      <w:r w:rsidRPr="007715DC">
        <w:rPr>
          <w:rFonts w:ascii="Noto Sans" w:hAnsi="Noto Sans" w:cs="Noto Sans"/>
          <w:b/>
          <w:color w:val="1E5B4F"/>
          <w:sz w:val="20"/>
          <w:szCs w:val="20"/>
        </w:rPr>
        <w:t>Definición y análisis del problema</w:t>
      </w:r>
      <w:bookmarkEnd w:id="3"/>
    </w:p>
    <w:p w:rsidR="00A2360D" w:rsidRDefault="00A2360D" w:rsidP="00240130">
      <w:pPr>
        <w:spacing w:before="120" w:after="120" w:line="276" w:lineRule="auto"/>
        <w:jc w:val="both"/>
        <w:rPr>
          <w:rFonts w:ascii="Noto Sans" w:hAnsi="Noto Sans" w:cs="Noto Sans"/>
          <w:sz w:val="20"/>
          <w:szCs w:val="20"/>
        </w:rPr>
      </w:pPr>
      <w:r w:rsidRPr="00F469F2">
        <w:rPr>
          <w:rFonts w:ascii="Noto Sans" w:hAnsi="Noto Sans" w:cs="Noto Sans"/>
          <w:b/>
          <w:sz w:val="20"/>
          <w:szCs w:val="20"/>
        </w:rPr>
        <w:t>Definición del problema:</w:t>
      </w:r>
      <w:r>
        <w:rPr>
          <w:rFonts w:ascii="Noto Sans" w:hAnsi="Noto Sans" w:cs="Noto Sans"/>
          <w:sz w:val="20"/>
          <w:szCs w:val="20"/>
        </w:rPr>
        <w:t xml:space="preserve"> </w:t>
      </w:r>
      <w:r w:rsidRPr="00A2360D">
        <w:rPr>
          <w:rFonts w:ascii="Noto Sans" w:hAnsi="Noto Sans" w:cs="Noto Sans"/>
          <w:sz w:val="20"/>
          <w:szCs w:val="20"/>
        </w:rPr>
        <w:t>Las personas sin seguridad social que presentan padecimientos de especialidad y alta especialidad enfrentan limitaciones para acceder efectivamente a servicios de atención en salud.</w:t>
      </w:r>
    </w:p>
    <w:p w:rsidR="00240130" w:rsidRPr="007715DC" w:rsidRDefault="00A2360D" w:rsidP="00240130">
      <w:pPr>
        <w:spacing w:before="120" w:after="120" w:line="276" w:lineRule="auto"/>
        <w:jc w:val="both"/>
        <w:rPr>
          <w:rFonts w:ascii="Noto Sans" w:hAnsi="Noto Sans" w:cs="Noto Sans"/>
          <w:sz w:val="20"/>
          <w:szCs w:val="20"/>
        </w:rPr>
      </w:pPr>
      <w:r w:rsidRPr="00F469F2">
        <w:rPr>
          <w:rFonts w:ascii="Noto Sans" w:hAnsi="Noto Sans" w:cs="Noto Sans"/>
          <w:b/>
          <w:sz w:val="20"/>
          <w:szCs w:val="20"/>
        </w:rPr>
        <w:t>Analisis del problema:</w:t>
      </w:r>
      <w:r>
        <w:rPr>
          <w:rFonts w:ascii="Noto Sans" w:hAnsi="Noto Sans" w:cs="Noto Sans"/>
          <w:sz w:val="20"/>
          <w:szCs w:val="20"/>
        </w:rPr>
        <w:t xml:space="preserve"> </w:t>
      </w:r>
      <w:r w:rsidR="00240130" w:rsidRPr="007715DC">
        <w:rPr>
          <w:rFonts w:ascii="Noto Sans" w:hAnsi="Noto Sans" w:cs="Noto Sans"/>
          <w:sz w:val="20"/>
          <w:szCs w:val="20"/>
        </w:rPr>
        <w:t xml:space="preserve">Entendiéndose el acceso y uso efectivo a la salud como la posibilidad de obtener atención en salud cuando se requiere y que ésta sea independiente de características como el ingreso, el lugar de residencia, la condición laboral o la pertenencia </w:t>
      </w:r>
      <w:r w:rsidR="00DC53B2" w:rsidRPr="007715DC">
        <w:rPr>
          <w:rFonts w:ascii="Noto Sans" w:hAnsi="Noto Sans" w:cs="Noto Sans"/>
          <w:sz w:val="20"/>
          <w:szCs w:val="20"/>
        </w:rPr>
        <w:t>a un grupo étnico o minoría</w:t>
      </w:r>
      <w:r w:rsidR="00240130" w:rsidRPr="007715DC">
        <w:rPr>
          <w:rFonts w:ascii="Noto Sans" w:hAnsi="Noto Sans" w:cs="Noto Sans"/>
          <w:sz w:val="20"/>
          <w:szCs w:val="20"/>
        </w:rPr>
        <w:t>.</w:t>
      </w:r>
    </w:p>
    <w:p w:rsidR="00240130" w:rsidRPr="007715DC" w:rsidRDefault="00240130" w:rsidP="00240130">
      <w:pPr>
        <w:spacing w:before="120" w:after="120" w:line="276" w:lineRule="auto"/>
        <w:jc w:val="both"/>
        <w:rPr>
          <w:rFonts w:ascii="Noto Sans" w:hAnsi="Noto Sans" w:cs="Noto Sans"/>
          <w:sz w:val="20"/>
          <w:szCs w:val="20"/>
        </w:rPr>
      </w:pPr>
      <w:r w:rsidRPr="007715DC">
        <w:rPr>
          <w:rFonts w:ascii="Noto Sans" w:hAnsi="Noto Sans" w:cs="Noto Sans"/>
          <w:sz w:val="20"/>
          <w:szCs w:val="20"/>
        </w:rPr>
        <w:t xml:space="preserve">El análisis de acceso y uso efectivo de los servicios de salud puede </w:t>
      </w:r>
      <w:r w:rsidR="00996753">
        <w:rPr>
          <w:rFonts w:ascii="Noto Sans" w:hAnsi="Noto Sans" w:cs="Noto Sans"/>
          <w:sz w:val="20"/>
          <w:szCs w:val="20"/>
        </w:rPr>
        <w:t>realizarse</w:t>
      </w:r>
      <w:r w:rsidRPr="007715DC">
        <w:rPr>
          <w:rFonts w:ascii="Noto Sans" w:hAnsi="Noto Sans" w:cs="Noto Sans"/>
          <w:sz w:val="20"/>
          <w:szCs w:val="20"/>
        </w:rPr>
        <w:t xml:space="preserve"> desde la perspectiva de cuatro dimensiones: disponibilidad, accesibilidad, utilización y calidad.</w:t>
      </w:r>
    </w:p>
    <w:p w:rsidR="00240130" w:rsidRPr="007715DC" w:rsidRDefault="00240130" w:rsidP="00240130">
      <w:pPr>
        <w:spacing w:before="120" w:after="120" w:line="276" w:lineRule="auto"/>
        <w:jc w:val="both"/>
        <w:rPr>
          <w:rFonts w:ascii="Noto Sans" w:hAnsi="Noto Sans" w:cs="Noto Sans"/>
          <w:sz w:val="20"/>
          <w:szCs w:val="20"/>
        </w:rPr>
      </w:pPr>
      <w:r w:rsidRPr="007715DC">
        <w:rPr>
          <w:rFonts w:ascii="Noto Sans" w:hAnsi="Noto Sans" w:cs="Noto Sans"/>
          <w:sz w:val="20"/>
          <w:szCs w:val="20"/>
        </w:rPr>
        <w:lastRenderedPageBreak/>
        <w:t>El programa presupuestario enfoca sus esfuerzos en atender la demanda de los servicios de salud en diferentes campos de la medicina de especialidad y alta especialidad otorgando servicios en la atención médica ambulatoria y la hospitalaria y con ello la percepción sobre esa atención, por lo tanto, las dimensiones están enfocadas en la utilización y calidad.</w:t>
      </w:r>
    </w:p>
    <w:p w:rsidR="00240130" w:rsidRPr="007715DC" w:rsidRDefault="00240130" w:rsidP="00240130">
      <w:pPr>
        <w:spacing w:before="120" w:after="120" w:line="276" w:lineRule="auto"/>
        <w:jc w:val="both"/>
        <w:rPr>
          <w:rFonts w:ascii="Noto Sans" w:hAnsi="Noto Sans" w:cs="Noto Sans"/>
          <w:sz w:val="20"/>
          <w:szCs w:val="20"/>
        </w:rPr>
      </w:pPr>
      <w:r w:rsidRPr="007715DC">
        <w:rPr>
          <w:rFonts w:ascii="Noto Sans" w:hAnsi="Noto Sans" w:cs="Noto Sans"/>
          <w:sz w:val="20"/>
          <w:szCs w:val="20"/>
        </w:rPr>
        <w:t>Utilización: se refiere al uso que hacen los individuos de la infraestructura o establecimientos, bienes y servicios de salud cuando lo requieren, es decir, atención médica en caso de enfermedad y el uso de servicios médicos específicos.</w:t>
      </w:r>
    </w:p>
    <w:p w:rsidR="00A46BDF" w:rsidRPr="007715DC" w:rsidRDefault="00240130" w:rsidP="00240130">
      <w:pPr>
        <w:spacing w:before="120" w:after="120" w:line="276" w:lineRule="auto"/>
        <w:jc w:val="both"/>
        <w:rPr>
          <w:rFonts w:ascii="Noto Sans" w:hAnsi="Noto Sans" w:cs="Noto Sans"/>
          <w:sz w:val="20"/>
          <w:szCs w:val="20"/>
        </w:rPr>
      </w:pPr>
      <w:r w:rsidRPr="007715DC">
        <w:rPr>
          <w:rFonts w:ascii="Noto Sans" w:hAnsi="Noto Sans" w:cs="Noto Sans"/>
          <w:sz w:val="20"/>
          <w:szCs w:val="20"/>
        </w:rPr>
        <w:t>Calidad: se refiere a que la infraestructura o establecimientos, bienes y servicios de salud sean apropiados a las necesidades de salud de los pacientes, lo cual requiere, entre otras cosas, de personal suficiente, medicamentos apropiados y suficientes, equipamiento adecuado, condiciones sanitarias y de higiene adecuadas, y buen trato de parte del personal de salud hacia los beneficiarios.</w:t>
      </w:r>
    </w:p>
    <w:p w:rsidR="00DD16E8" w:rsidRPr="007715DC" w:rsidRDefault="00DD16E8" w:rsidP="00DD16E8">
      <w:pPr>
        <w:spacing w:before="120" w:after="120" w:line="276" w:lineRule="auto"/>
        <w:jc w:val="both"/>
        <w:rPr>
          <w:rFonts w:ascii="Noto Sans" w:hAnsi="Noto Sans" w:cs="Noto Sans"/>
          <w:sz w:val="20"/>
          <w:szCs w:val="20"/>
        </w:rPr>
      </w:pPr>
      <w:r w:rsidRPr="007715DC">
        <w:rPr>
          <w:rFonts w:ascii="Noto Sans" w:hAnsi="Noto Sans" w:cs="Noto Sans"/>
          <w:sz w:val="20"/>
          <w:szCs w:val="20"/>
        </w:rPr>
        <w:t>En México, la transición epidemiológica y demográfica, caracterizada por</w:t>
      </w:r>
      <w:r w:rsidR="009E77FF" w:rsidRPr="007715DC">
        <w:rPr>
          <w:rFonts w:ascii="Noto Sans" w:hAnsi="Noto Sans" w:cs="Noto Sans"/>
          <w:sz w:val="20"/>
          <w:szCs w:val="20"/>
        </w:rPr>
        <w:t xml:space="preserve"> </w:t>
      </w:r>
      <w:r w:rsidRPr="007715DC">
        <w:rPr>
          <w:rFonts w:ascii="Noto Sans" w:hAnsi="Noto Sans" w:cs="Noto Sans"/>
          <w:sz w:val="20"/>
          <w:szCs w:val="20"/>
        </w:rPr>
        <w:t xml:space="preserve">el predominio de los padecimientos crónico degenerativos como las enfermedades cardiovasculares, diabetes mellitus, cáncer en todos sus tipos, enfermedades del hígado, entre otras, ha desencadenado una creciente demanda de servicios de salud especializados a nivel nacional, especialmente entre la población sin seguridad social que busca atención por presentar condiciones médicas complejas que no pueden ser manejadas eficazmente en el primer y segundo nivel de atención médica. Se estima que de 75 % a 85 % de las personas de una población general solo requieren servicios de atención primaria en un año determinado, de 10 % a 12 % requieren derivaciones a servicios de segundo nivel a corto plazo y de 5% a 10% de la población con una necesidad en salud, solicitan atención de especialidad en unidades de tercer nivel de atención. </w:t>
      </w:r>
    </w:p>
    <w:p w:rsidR="00DD16E8" w:rsidRPr="007715DC" w:rsidRDefault="00DD16E8" w:rsidP="00DD16E8">
      <w:pPr>
        <w:spacing w:before="120" w:after="120" w:line="276" w:lineRule="auto"/>
        <w:jc w:val="both"/>
        <w:rPr>
          <w:rFonts w:ascii="Noto Sans" w:hAnsi="Noto Sans" w:cs="Noto Sans"/>
          <w:sz w:val="20"/>
          <w:szCs w:val="20"/>
        </w:rPr>
      </w:pPr>
      <w:r w:rsidRPr="007715DC">
        <w:rPr>
          <w:rFonts w:ascii="Noto Sans" w:hAnsi="Noto Sans" w:cs="Noto Sans"/>
          <w:sz w:val="20"/>
          <w:szCs w:val="20"/>
        </w:rPr>
        <w:t>Durante los últimos años, se han presentado avances por mejorar el acceso al sistema público de salud y contribuir a responder a las necesidades en salud de las y los mexicanos, especialmente aquellos que carecen de alguna afiliación a la seguridad social. Sin embargo, el problema de acceso no solo persiste, pues la brecha se ha incrementado</w:t>
      </w:r>
      <w:r w:rsidR="009E77FF" w:rsidRPr="007715DC">
        <w:rPr>
          <w:rFonts w:ascii="Noto Sans" w:hAnsi="Noto Sans" w:cs="Noto Sans"/>
          <w:sz w:val="20"/>
          <w:szCs w:val="20"/>
        </w:rPr>
        <w:t xml:space="preserve"> </w:t>
      </w:r>
      <w:r w:rsidRPr="007715DC">
        <w:rPr>
          <w:rFonts w:ascii="Noto Sans" w:hAnsi="Noto Sans" w:cs="Noto Sans"/>
          <w:sz w:val="20"/>
          <w:szCs w:val="20"/>
        </w:rPr>
        <w:t xml:space="preserve"> durante los últimos ocho años. Según el Consejo Nacional de Evaluación de la Política de Desarrollo Social (CONEVAL), una persona en situación de carencia por acceso a los servicios de salud se define como aquella que “no cuenta con adscripción, afiliación o derecho a recibir servicios médicos de alguna institución que los presta, como Seguro Popular, instituciones públicas como seguridad social, servicios médicos privados o bien, no reportó tener derecho a recibir los servicios que presta el Instituto de Salud para el Bienestar (INSABI)”.</w:t>
      </w:r>
      <w:r w:rsidR="009E77FF" w:rsidRPr="007715DC">
        <w:rPr>
          <w:rFonts w:ascii="Noto Sans" w:hAnsi="Noto Sans" w:cs="Noto Sans"/>
          <w:sz w:val="20"/>
          <w:szCs w:val="20"/>
        </w:rPr>
        <w:t xml:space="preserve"> </w:t>
      </w:r>
      <w:r w:rsidRPr="007715DC">
        <w:rPr>
          <w:rFonts w:ascii="Noto Sans" w:hAnsi="Noto Sans" w:cs="Noto Sans"/>
          <w:sz w:val="20"/>
          <w:szCs w:val="20"/>
        </w:rPr>
        <w:t xml:space="preserve">En la medición de 2022, la carencia de acceso a servicios de salud se mantuvo el mismo criterio a pesar de la reconfiguración del sistema de salud con la desaparición del INSABI y su sustitución por el IMSS-BIENESTAR. </w:t>
      </w:r>
    </w:p>
    <w:p w:rsidR="00DD16E8" w:rsidRPr="007715DC" w:rsidRDefault="00DD16E8" w:rsidP="00DD16E8">
      <w:pPr>
        <w:spacing w:before="120" w:after="120" w:line="276" w:lineRule="auto"/>
        <w:jc w:val="both"/>
        <w:rPr>
          <w:rFonts w:ascii="Noto Sans" w:hAnsi="Noto Sans" w:cs="Noto Sans"/>
          <w:sz w:val="20"/>
          <w:szCs w:val="20"/>
        </w:rPr>
      </w:pPr>
      <w:r w:rsidRPr="007715DC">
        <w:rPr>
          <w:rFonts w:ascii="Noto Sans" w:hAnsi="Noto Sans" w:cs="Noto Sans"/>
          <w:sz w:val="20"/>
          <w:szCs w:val="20"/>
        </w:rPr>
        <w:t xml:space="preserve">Se ha identificado que existen grupos de poblaciones que por sus características sociodemográficas suelen requerir atención en salud con mayor frecuencia que otros, como son las y los infantes y preescolares, adultos mayores, población que vive con alguna </w:t>
      </w:r>
      <w:r w:rsidRPr="007715DC">
        <w:rPr>
          <w:rFonts w:ascii="Noto Sans" w:hAnsi="Noto Sans" w:cs="Noto Sans"/>
          <w:sz w:val="20"/>
          <w:szCs w:val="20"/>
        </w:rPr>
        <w:lastRenderedPageBreak/>
        <w:t>discapacidad y la población indígena. Datos del CONEVAL, muestran que de 2016 a 2020, la carencia de acceso a los servicios de salud en estos grupos se incrementó, en</w:t>
      </w:r>
      <w:r w:rsidR="009E77FF" w:rsidRPr="007715DC">
        <w:rPr>
          <w:rFonts w:ascii="Noto Sans" w:hAnsi="Noto Sans" w:cs="Noto Sans"/>
          <w:sz w:val="20"/>
          <w:szCs w:val="20"/>
        </w:rPr>
        <w:t xml:space="preserve"> </w:t>
      </w:r>
      <w:r w:rsidRPr="007715DC">
        <w:rPr>
          <w:rFonts w:ascii="Noto Sans" w:hAnsi="Noto Sans" w:cs="Noto Sans"/>
          <w:sz w:val="20"/>
          <w:szCs w:val="20"/>
        </w:rPr>
        <w:t>niños y niñas menores de 5 años la carencia de acceso pasó de 15.8% a 31.3%, en personas mayores de 65 años de 9.5% a 18.7%, en población analfabeta la cifra se duplicó de 14.1% a 30.4% y la población indígena reportó mayor carencia en el acceso a los servicios de salud pasando de 15.1% a 32.8%</w:t>
      </w:r>
      <w:r w:rsidR="006C5883" w:rsidRPr="007715DC">
        <w:rPr>
          <w:rFonts w:ascii="Noto Sans" w:hAnsi="Noto Sans" w:cs="Noto Sans"/>
          <w:sz w:val="20"/>
          <w:szCs w:val="20"/>
        </w:rPr>
        <w:t>.</w:t>
      </w:r>
    </w:p>
    <w:p w:rsidR="00DD16E8" w:rsidRPr="007715DC" w:rsidRDefault="00DD16E8" w:rsidP="00DD16E8">
      <w:pPr>
        <w:spacing w:before="120" w:after="120" w:line="276" w:lineRule="auto"/>
        <w:jc w:val="both"/>
        <w:rPr>
          <w:rFonts w:ascii="Noto Sans" w:hAnsi="Noto Sans" w:cs="Noto Sans"/>
          <w:sz w:val="20"/>
          <w:szCs w:val="20"/>
        </w:rPr>
      </w:pPr>
      <w:r w:rsidRPr="007715DC">
        <w:rPr>
          <w:rFonts w:ascii="Noto Sans" w:hAnsi="Noto Sans" w:cs="Noto Sans"/>
          <w:sz w:val="20"/>
          <w:szCs w:val="20"/>
        </w:rPr>
        <w:t>Entre esta falta de acceso a los servicios de salud, se incluye el acceso a los servicios de alta especialidad. Las principales barreras de acceso a estas unidades se encuentran las barreras clínicas, culturales, administrativas, económicas, institucionales y geográfica. Esta última, relacionada con la carencia de hospitales de alta especialidad en varios estados del país, donde la poca oferta de estos servicios, a través de Institutos Nacionales de Salud (INS) y Hospitales Federales de Referencia (HFR), está concentrada en la Ciudad de México. Esta centralización geográfica de las unidades ha dado lugar a que los y las pacientes de regiones remotas se trasladen a la CDMX en busca de atención médica, por lo que ha ocasionado que la demanda de servicios médicos de alta especialidad de estas unidades actualmente este saturada.</w:t>
      </w:r>
    </w:p>
    <w:p w:rsidR="00DD16E8" w:rsidRPr="007715DC" w:rsidRDefault="00DD16E8" w:rsidP="00DD16E8">
      <w:pPr>
        <w:spacing w:before="120" w:after="120" w:line="276" w:lineRule="auto"/>
        <w:jc w:val="both"/>
        <w:rPr>
          <w:rFonts w:ascii="Noto Sans" w:hAnsi="Noto Sans" w:cs="Noto Sans"/>
          <w:sz w:val="20"/>
          <w:szCs w:val="20"/>
        </w:rPr>
      </w:pPr>
      <w:r w:rsidRPr="007715DC">
        <w:rPr>
          <w:rFonts w:ascii="Noto Sans" w:hAnsi="Noto Sans" w:cs="Noto Sans"/>
          <w:sz w:val="20"/>
          <w:szCs w:val="20"/>
        </w:rPr>
        <w:t xml:space="preserve">Por otra parte, la difícil accesibilidad geográfica genera largos tiempos de traslado a estas unidades y se convierte en una barrera significativa para la población que vive en zonas alejadas de la capital del país. Datos del CONEVAL estimaron </w:t>
      </w:r>
      <w:r w:rsidR="006C5883" w:rsidRPr="007715DC">
        <w:rPr>
          <w:rFonts w:ascii="Noto Sans" w:hAnsi="Noto Sans" w:cs="Noto Sans"/>
          <w:sz w:val="20"/>
          <w:szCs w:val="20"/>
        </w:rPr>
        <w:t>que,</w:t>
      </w:r>
      <w:r w:rsidRPr="007715DC">
        <w:rPr>
          <w:rFonts w:ascii="Noto Sans" w:hAnsi="Noto Sans" w:cs="Noto Sans"/>
          <w:sz w:val="20"/>
          <w:szCs w:val="20"/>
        </w:rPr>
        <w:t xml:space="preserve"> en 2020, el tiempo de traslado a unidades de atención médica de tercer nivel en áreas urbanas podía variar de 30 minutos hasta 2 horas, mientras que, en estados al norte, sur y la península puede ser mayor a 3 horas en automóvil. Esta situación también afecta desproporcionadamente a las poblaciones rurales y marginadas, donde las barreras estructurales y la carga de los determinantes sociales dificultan aún más el acceso a servicios especializados de salud. De 2018 a 2020 el porcentaje de población con carencia por acceso a los servicios de salud en comunidad rural paso de 13.7% a 30.5%. </w:t>
      </w:r>
    </w:p>
    <w:p w:rsidR="00DD16E8" w:rsidRPr="007715DC" w:rsidRDefault="00DD16E8" w:rsidP="00DD16E8">
      <w:pPr>
        <w:spacing w:before="120" w:after="120" w:line="276" w:lineRule="auto"/>
        <w:jc w:val="both"/>
        <w:rPr>
          <w:rFonts w:ascii="Noto Sans" w:hAnsi="Noto Sans" w:cs="Noto Sans"/>
          <w:sz w:val="20"/>
          <w:szCs w:val="20"/>
        </w:rPr>
      </w:pPr>
      <w:r w:rsidRPr="007715DC">
        <w:rPr>
          <w:rFonts w:ascii="Noto Sans" w:hAnsi="Noto Sans" w:cs="Noto Sans"/>
          <w:sz w:val="20"/>
          <w:szCs w:val="20"/>
        </w:rPr>
        <w:t>Para hacer frente a esta creciente demanda y descentralizar la provisión de servicios de salud especializados, se han fortalecido y creado unidades de tercer nivel como los Hospitales Regionales de Alta Especialidad (HRAE). En 2023, se estimó que 19,758, es decir 0.84% de los egresos hospitalarios a nivel nacional se realizó en estas unidades. Sin embargo, estas unidades aún enfrentan limitaciones en términos de cobertura geográfica, ya que solo están presentes en seis de los 32 estados del país, lo que continúa dejando a muchas regiones y estados sin acceso a atención médica especializada.</w:t>
      </w:r>
    </w:p>
    <w:p w:rsidR="00DD16E8" w:rsidRPr="007715DC" w:rsidRDefault="00DD16E8" w:rsidP="00DD16E8">
      <w:pPr>
        <w:spacing w:before="120" w:after="120" w:line="276" w:lineRule="auto"/>
        <w:jc w:val="both"/>
        <w:rPr>
          <w:rFonts w:ascii="Noto Sans" w:hAnsi="Noto Sans" w:cs="Noto Sans"/>
          <w:sz w:val="20"/>
          <w:szCs w:val="20"/>
        </w:rPr>
      </w:pPr>
      <w:r w:rsidRPr="007715DC">
        <w:rPr>
          <w:rFonts w:ascii="Noto Sans" w:hAnsi="Noto Sans" w:cs="Noto Sans"/>
          <w:sz w:val="20"/>
          <w:szCs w:val="20"/>
        </w:rPr>
        <w:t>Además de las barreras previamente identificadas, la evidencia muestra otras situaciones que impiden el acceso a los servicios especializados de salud, tales como: la fragmentación operativa observada al nivel</w:t>
      </w:r>
      <w:r w:rsidR="009E77FF" w:rsidRPr="007715DC">
        <w:rPr>
          <w:rFonts w:ascii="Noto Sans" w:hAnsi="Noto Sans" w:cs="Noto Sans"/>
          <w:sz w:val="20"/>
          <w:szCs w:val="20"/>
        </w:rPr>
        <w:t xml:space="preserve"> </w:t>
      </w:r>
      <w:r w:rsidRPr="007715DC">
        <w:rPr>
          <w:rFonts w:ascii="Noto Sans" w:hAnsi="Noto Sans" w:cs="Noto Sans"/>
          <w:sz w:val="20"/>
          <w:szCs w:val="20"/>
        </w:rPr>
        <w:t xml:space="preserve">de la provisión de servicios de salud, la segmentación institucional de los sistemas, la segregación poblacional que causa exclusión en grupos poblacionales e inequidad en el acceso, los largos tiempos y listas de espera, las experiencias negativas con los profesionales de la salud relacionados con la baja calidad en los servicios. También se suman </w:t>
      </w:r>
      <w:r w:rsidRPr="007715DC">
        <w:rPr>
          <w:rFonts w:ascii="Noto Sans" w:hAnsi="Noto Sans" w:cs="Noto Sans"/>
          <w:sz w:val="20"/>
          <w:szCs w:val="20"/>
        </w:rPr>
        <w:lastRenderedPageBreak/>
        <w:t xml:space="preserve">altos costos del viaje debido a la lejanía de la unidad hospitalaria, deficiente conocimiento sobre los servicios especializados de salud disponibles para acudir o saber a quién contactar, barreras financieras para cubrir los costos de los tratamientos, especialmente para aquellos más pobres, factores socioculturales como la influencia de otras personas, creencias socioculturales y religiosas, barreras del idioma sobre todo en entornos lingüísticamente diversos, entre otros. </w:t>
      </w:r>
    </w:p>
    <w:p w:rsidR="00DD16E8" w:rsidRPr="007715DC" w:rsidRDefault="00DD16E8" w:rsidP="00DD16E8">
      <w:pPr>
        <w:spacing w:before="120" w:after="120" w:line="276" w:lineRule="auto"/>
        <w:jc w:val="both"/>
        <w:rPr>
          <w:rFonts w:ascii="Noto Sans" w:hAnsi="Noto Sans" w:cs="Noto Sans"/>
          <w:sz w:val="20"/>
          <w:szCs w:val="20"/>
        </w:rPr>
      </w:pPr>
      <w:r w:rsidRPr="007715DC">
        <w:rPr>
          <w:rFonts w:ascii="Noto Sans" w:hAnsi="Noto Sans" w:cs="Noto Sans"/>
          <w:sz w:val="20"/>
          <w:szCs w:val="20"/>
        </w:rPr>
        <w:t>Esta falta de acceso a los servicios públicos ha generado un aumento en la búsqueda de atención médica en servicios privados. Según la Encuesta Nacional de Salud y Nutrición (ENSANUT) en 2022, 30.4% de la población mexicana recibió atención médica en servicios privados, con un incremento considerable en el caso de la población sin seguridad social, alcanzando una cifra de 35.6%. Durante la pandemia de COVID-19, la falta de acceso a los servicios públicos fue alarmante, pues afectó a 66% de la población</w:t>
      </w:r>
      <w:r w:rsidR="00AD0ED5" w:rsidRPr="007715DC">
        <w:rPr>
          <w:rFonts w:ascii="Noto Sans" w:hAnsi="Noto Sans" w:cs="Noto Sans"/>
          <w:sz w:val="20"/>
          <w:szCs w:val="20"/>
        </w:rPr>
        <w:t>.</w:t>
      </w:r>
    </w:p>
    <w:p w:rsidR="00AD0ED5" w:rsidRPr="007715DC" w:rsidRDefault="00AD0ED5" w:rsidP="00DD16E8">
      <w:pPr>
        <w:spacing w:before="120" w:after="120" w:line="276" w:lineRule="auto"/>
        <w:jc w:val="both"/>
        <w:rPr>
          <w:rFonts w:ascii="Noto Sans" w:hAnsi="Noto Sans" w:cs="Noto Sans"/>
          <w:sz w:val="20"/>
          <w:szCs w:val="20"/>
        </w:rPr>
      </w:pPr>
    </w:p>
    <w:p w:rsidR="00B70D5C" w:rsidRPr="007715DC" w:rsidRDefault="00B70D5C" w:rsidP="005E6276">
      <w:pPr>
        <w:pStyle w:val="Ttulo1"/>
        <w:numPr>
          <w:ilvl w:val="0"/>
          <w:numId w:val="1"/>
        </w:numPr>
        <w:spacing w:before="120" w:after="120" w:line="276" w:lineRule="auto"/>
        <w:rPr>
          <w:rFonts w:ascii="Noto Sans" w:hAnsi="Noto Sans" w:cs="Noto Sans"/>
          <w:b/>
          <w:color w:val="1E5B4F"/>
          <w:sz w:val="20"/>
          <w:szCs w:val="20"/>
        </w:rPr>
      </w:pPr>
      <w:bookmarkStart w:id="4" w:name="_Toc201830221"/>
      <w:r w:rsidRPr="007715DC">
        <w:rPr>
          <w:rFonts w:ascii="Noto Sans" w:hAnsi="Noto Sans" w:cs="Noto Sans"/>
          <w:b/>
          <w:color w:val="1E5B4F"/>
          <w:sz w:val="20"/>
          <w:szCs w:val="20"/>
        </w:rPr>
        <w:t>Experiencias de atención</w:t>
      </w:r>
      <w:bookmarkEnd w:id="4"/>
    </w:p>
    <w:p w:rsidR="00A2360D" w:rsidRDefault="00A2360D" w:rsidP="002D62D2">
      <w:pPr>
        <w:spacing w:after="160" w:line="259" w:lineRule="auto"/>
        <w:jc w:val="both"/>
        <w:rPr>
          <w:rFonts w:ascii="Noto Sans" w:hAnsi="Noto Sans" w:cs="Noto Sans"/>
          <w:b/>
          <w:bCs/>
          <w:sz w:val="20"/>
          <w:szCs w:val="20"/>
        </w:rPr>
      </w:pPr>
      <w:r>
        <w:rPr>
          <w:rFonts w:ascii="Noto Sans" w:hAnsi="Noto Sans" w:cs="Noto Sans"/>
          <w:b/>
          <w:bCs/>
          <w:sz w:val="20"/>
          <w:szCs w:val="20"/>
        </w:rPr>
        <w:t>Experiencias nacionales</w:t>
      </w:r>
    </w:p>
    <w:p w:rsidR="00D9706F" w:rsidRPr="00D9706F" w:rsidRDefault="00D9706F" w:rsidP="00D9706F">
      <w:pPr>
        <w:spacing w:after="160" w:line="259" w:lineRule="auto"/>
        <w:jc w:val="both"/>
        <w:rPr>
          <w:rFonts w:ascii="Noto Sans" w:hAnsi="Noto Sans" w:cs="Noto Sans"/>
          <w:bCs/>
          <w:sz w:val="20"/>
          <w:szCs w:val="20"/>
        </w:rPr>
      </w:pPr>
      <w:r w:rsidRPr="00D9706F">
        <w:rPr>
          <w:rFonts w:ascii="Noto Sans" w:hAnsi="Noto Sans" w:cs="Noto Sans"/>
          <w:bCs/>
          <w:sz w:val="20"/>
          <w:szCs w:val="20"/>
        </w:rPr>
        <w:t>El Programa Presupuestario U013 “Atención a la Salud y</w:t>
      </w:r>
      <w:r>
        <w:rPr>
          <w:rFonts w:ascii="Noto Sans" w:hAnsi="Noto Sans" w:cs="Noto Sans"/>
          <w:bCs/>
          <w:sz w:val="20"/>
          <w:szCs w:val="20"/>
        </w:rPr>
        <w:t xml:space="preserve"> Medicamentos Gratuitos para la </w:t>
      </w:r>
      <w:r w:rsidRPr="00D9706F">
        <w:rPr>
          <w:rFonts w:ascii="Noto Sans" w:hAnsi="Noto Sans" w:cs="Noto Sans"/>
          <w:bCs/>
          <w:sz w:val="20"/>
          <w:szCs w:val="20"/>
        </w:rPr>
        <w:t>Población sin Seguridad Social Laboral” es operado por los S</w:t>
      </w:r>
      <w:r>
        <w:rPr>
          <w:rFonts w:ascii="Noto Sans" w:hAnsi="Noto Sans" w:cs="Noto Sans"/>
          <w:bCs/>
          <w:sz w:val="20"/>
          <w:szCs w:val="20"/>
        </w:rPr>
        <w:t xml:space="preserve">ervicios de Salud del Instituto </w:t>
      </w:r>
      <w:r w:rsidRPr="00D9706F">
        <w:rPr>
          <w:rFonts w:ascii="Noto Sans" w:hAnsi="Noto Sans" w:cs="Noto Sans"/>
          <w:bCs/>
          <w:sz w:val="20"/>
          <w:szCs w:val="20"/>
        </w:rPr>
        <w:t>Mexicano del Seguro Social para el Bienestar (IMSS-BIENESTA</w:t>
      </w:r>
      <w:r>
        <w:rPr>
          <w:rFonts w:ascii="Noto Sans" w:hAnsi="Noto Sans" w:cs="Noto Sans"/>
          <w:bCs/>
          <w:sz w:val="20"/>
          <w:szCs w:val="20"/>
        </w:rPr>
        <w:t xml:space="preserve">R). Este programa cuenta con un </w:t>
      </w:r>
      <w:r w:rsidRPr="00D9706F">
        <w:rPr>
          <w:rFonts w:ascii="Noto Sans" w:hAnsi="Noto Sans" w:cs="Noto Sans"/>
          <w:bCs/>
          <w:sz w:val="20"/>
          <w:szCs w:val="20"/>
        </w:rPr>
        <w:t xml:space="preserve">presupuesto aprobado de $85,845,654,235 pesos, destinado a garantizar el </w:t>
      </w:r>
      <w:r>
        <w:rPr>
          <w:rFonts w:ascii="Noto Sans" w:hAnsi="Noto Sans" w:cs="Noto Sans"/>
          <w:bCs/>
          <w:sz w:val="20"/>
          <w:szCs w:val="20"/>
        </w:rPr>
        <w:t xml:space="preserve">acceso efectivo, </w:t>
      </w:r>
      <w:r w:rsidRPr="00D9706F">
        <w:rPr>
          <w:rFonts w:ascii="Noto Sans" w:hAnsi="Noto Sans" w:cs="Noto Sans"/>
          <w:bCs/>
          <w:sz w:val="20"/>
          <w:szCs w:val="20"/>
        </w:rPr>
        <w:t>gratuito y con calidad a los servicios de salud para la poblac</w:t>
      </w:r>
      <w:r>
        <w:rPr>
          <w:rFonts w:ascii="Noto Sans" w:hAnsi="Noto Sans" w:cs="Noto Sans"/>
          <w:bCs/>
          <w:sz w:val="20"/>
          <w:szCs w:val="20"/>
        </w:rPr>
        <w:t xml:space="preserve">ión que no cuenta con seguridad </w:t>
      </w:r>
      <w:r w:rsidRPr="00D9706F">
        <w:rPr>
          <w:rFonts w:ascii="Noto Sans" w:hAnsi="Noto Sans" w:cs="Noto Sans"/>
          <w:bCs/>
          <w:sz w:val="20"/>
          <w:szCs w:val="20"/>
        </w:rPr>
        <w:t>social laboral.</w:t>
      </w:r>
    </w:p>
    <w:p w:rsidR="00D9706F" w:rsidRPr="00D9706F" w:rsidRDefault="00D9706F" w:rsidP="00D9706F">
      <w:pPr>
        <w:spacing w:after="160" w:line="259" w:lineRule="auto"/>
        <w:jc w:val="both"/>
        <w:rPr>
          <w:rFonts w:ascii="Noto Sans" w:hAnsi="Noto Sans" w:cs="Noto Sans"/>
          <w:bCs/>
          <w:sz w:val="20"/>
          <w:szCs w:val="20"/>
        </w:rPr>
      </w:pPr>
      <w:r w:rsidRPr="00D9706F">
        <w:rPr>
          <w:rFonts w:ascii="Noto Sans" w:hAnsi="Noto Sans" w:cs="Noto Sans"/>
          <w:bCs/>
          <w:sz w:val="20"/>
          <w:szCs w:val="20"/>
        </w:rPr>
        <w:t>El programa contribuye a este objetivo mediante la transferen</w:t>
      </w:r>
      <w:r>
        <w:rPr>
          <w:rFonts w:ascii="Noto Sans" w:hAnsi="Noto Sans" w:cs="Noto Sans"/>
          <w:bCs/>
          <w:sz w:val="20"/>
          <w:szCs w:val="20"/>
        </w:rPr>
        <w:t xml:space="preserve">cia de recursos a las Entidades </w:t>
      </w:r>
      <w:r w:rsidRPr="00D9706F">
        <w:rPr>
          <w:rFonts w:ascii="Noto Sans" w:hAnsi="Noto Sans" w:cs="Noto Sans"/>
          <w:bCs/>
          <w:sz w:val="20"/>
          <w:szCs w:val="20"/>
        </w:rPr>
        <w:t>Federativas, que permiten fortalecer los servicios de ate</w:t>
      </w:r>
      <w:r>
        <w:rPr>
          <w:rFonts w:ascii="Noto Sans" w:hAnsi="Noto Sans" w:cs="Noto Sans"/>
          <w:bCs/>
          <w:sz w:val="20"/>
          <w:szCs w:val="20"/>
        </w:rPr>
        <w:t xml:space="preserve">nción médica y el suministro de </w:t>
      </w:r>
      <w:r w:rsidRPr="00D9706F">
        <w:rPr>
          <w:rFonts w:ascii="Noto Sans" w:hAnsi="Noto Sans" w:cs="Noto Sans"/>
          <w:bCs/>
          <w:sz w:val="20"/>
          <w:szCs w:val="20"/>
        </w:rPr>
        <w:t>medicamentos gratuitos. Las actividades sustantivas financiadas incluyen:</w:t>
      </w:r>
    </w:p>
    <w:p w:rsidR="00D9706F" w:rsidRDefault="00D9706F" w:rsidP="005E6276">
      <w:pPr>
        <w:pStyle w:val="Prrafodelista"/>
        <w:numPr>
          <w:ilvl w:val="0"/>
          <w:numId w:val="12"/>
        </w:numPr>
        <w:spacing w:after="160" w:line="259" w:lineRule="auto"/>
        <w:jc w:val="both"/>
        <w:rPr>
          <w:rFonts w:ascii="Noto Sans" w:hAnsi="Noto Sans" w:cs="Noto Sans"/>
          <w:bCs/>
          <w:sz w:val="20"/>
          <w:szCs w:val="20"/>
        </w:rPr>
      </w:pPr>
      <w:r w:rsidRPr="00D9706F">
        <w:rPr>
          <w:rFonts w:ascii="Noto Sans" w:hAnsi="Noto Sans" w:cs="Noto Sans"/>
          <w:bCs/>
          <w:sz w:val="20"/>
          <w:szCs w:val="20"/>
        </w:rPr>
        <w:t>El pago de personal directamente asociado a la prestación de servicios de salud.</w:t>
      </w:r>
    </w:p>
    <w:p w:rsidR="00D9706F" w:rsidRDefault="00D9706F" w:rsidP="005E6276">
      <w:pPr>
        <w:pStyle w:val="Prrafodelista"/>
        <w:numPr>
          <w:ilvl w:val="0"/>
          <w:numId w:val="12"/>
        </w:numPr>
        <w:spacing w:after="160" w:line="259" w:lineRule="auto"/>
        <w:jc w:val="both"/>
        <w:rPr>
          <w:rFonts w:ascii="Noto Sans" w:hAnsi="Noto Sans" w:cs="Noto Sans"/>
          <w:bCs/>
          <w:sz w:val="20"/>
          <w:szCs w:val="20"/>
        </w:rPr>
      </w:pPr>
      <w:r w:rsidRPr="00D9706F">
        <w:rPr>
          <w:rFonts w:ascii="Noto Sans" w:hAnsi="Noto Sans" w:cs="Noto Sans"/>
          <w:bCs/>
          <w:sz w:val="20"/>
          <w:szCs w:val="20"/>
        </w:rPr>
        <w:t>La adquisición de medicamentos, material de curación y otros insumos médicos.</w:t>
      </w:r>
    </w:p>
    <w:p w:rsidR="00D9706F" w:rsidRPr="00D9706F" w:rsidRDefault="00D9706F" w:rsidP="005E6276">
      <w:pPr>
        <w:pStyle w:val="Prrafodelista"/>
        <w:numPr>
          <w:ilvl w:val="0"/>
          <w:numId w:val="12"/>
        </w:numPr>
        <w:spacing w:after="160" w:line="259" w:lineRule="auto"/>
        <w:jc w:val="both"/>
        <w:rPr>
          <w:rFonts w:ascii="Noto Sans" w:hAnsi="Noto Sans" w:cs="Noto Sans"/>
          <w:bCs/>
          <w:sz w:val="20"/>
          <w:szCs w:val="20"/>
        </w:rPr>
      </w:pPr>
      <w:r w:rsidRPr="00D9706F">
        <w:rPr>
          <w:rFonts w:ascii="Noto Sans" w:hAnsi="Noto Sans" w:cs="Noto Sans"/>
          <w:bCs/>
          <w:sz w:val="20"/>
          <w:szCs w:val="20"/>
        </w:rPr>
        <w:t>El mantenimiento y conservación de las unidades médicas.</w:t>
      </w:r>
    </w:p>
    <w:p w:rsidR="00D9706F" w:rsidRPr="00D9706F" w:rsidRDefault="00D9706F" w:rsidP="00D9706F">
      <w:pPr>
        <w:spacing w:after="160" w:line="259" w:lineRule="auto"/>
        <w:jc w:val="both"/>
        <w:rPr>
          <w:rFonts w:ascii="Noto Sans" w:hAnsi="Noto Sans" w:cs="Noto Sans"/>
          <w:bCs/>
          <w:sz w:val="20"/>
          <w:szCs w:val="20"/>
        </w:rPr>
      </w:pPr>
      <w:r w:rsidRPr="00D9706F">
        <w:rPr>
          <w:rFonts w:ascii="Noto Sans" w:hAnsi="Noto Sans" w:cs="Noto Sans"/>
          <w:bCs/>
          <w:sz w:val="20"/>
          <w:szCs w:val="20"/>
        </w:rPr>
        <w:t>Con estas acciones, el programa U013 busca avanzar en la</w:t>
      </w:r>
      <w:r w:rsidR="00361680">
        <w:rPr>
          <w:rFonts w:ascii="Noto Sans" w:hAnsi="Noto Sans" w:cs="Noto Sans"/>
          <w:bCs/>
          <w:sz w:val="20"/>
          <w:szCs w:val="20"/>
        </w:rPr>
        <w:t xml:space="preserve"> consolidación de un sistema de </w:t>
      </w:r>
      <w:r w:rsidRPr="00D9706F">
        <w:rPr>
          <w:rFonts w:ascii="Noto Sans" w:hAnsi="Noto Sans" w:cs="Noto Sans"/>
          <w:bCs/>
          <w:sz w:val="20"/>
          <w:szCs w:val="20"/>
        </w:rPr>
        <w:t>salud universal, equitativo y sin barreras económicas para los sectores más</w:t>
      </w:r>
      <w:r w:rsidR="00361680">
        <w:rPr>
          <w:rFonts w:ascii="Noto Sans" w:hAnsi="Noto Sans" w:cs="Noto Sans"/>
          <w:bCs/>
          <w:sz w:val="20"/>
          <w:szCs w:val="20"/>
        </w:rPr>
        <w:t xml:space="preserve"> vulnerables de la </w:t>
      </w:r>
      <w:r w:rsidRPr="00D9706F">
        <w:rPr>
          <w:rFonts w:ascii="Noto Sans" w:hAnsi="Noto Sans" w:cs="Noto Sans"/>
          <w:bCs/>
          <w:sz w:val="20"/>
          <w:szCs w:val="20"/>
        </w:rPr>
        <w:t>población.</w:t>
      </w:r>
    </w:p>
    <w:p w:rsidR="00D9706F" w:rsidRPr="00D9706F" w:rsidRDefault="00D9706F" w:rsidP="00D9706F">
      <w:pPr>
        <w:spacing w:after="160" w:line="259" w:lineRule="auto"/>
        <w:jc w:val="both"/>
        <w:rPr>
          <w:rFonts w:ascii="Noto Sans" w:hAnsi="Noto Sans" w:cs="Noto Sans"/>
          <w:bCs/>
          <w:sz w:val="20"/>
          <w:szCs w:val="20"/>
        </w:rPr>
      </w:pPr>
    </w:p>
    <w:p w:rsidR="00361680" w:rsidRDefault="00D9706F" w:rsidP="00D9706F">
      <w:pPr>
        <w:spacing w:after="160" w:line="259" w:lineRule="auto"/>
        <w:jc w:val="both"/>
        <w:rPr>
          <w:rFonts w:ascii="Noto Sans" w:hAnsi="Noto Sans" w:cs="Noto Sans"/>
          <w:bCs/>
          <w:sz w:val="20"/>
          <w:szCs w:val="20"/>
        </w:rPr>
      </w:pPr>
      <w:r w:rsidRPr="00D9706F">
        <w:rPr>
          <w:rFonts w:ascii="Noto Sans" w:hAnsi="Noto Sans" w:cs="Noto Sans"/>
          <w:bCs/>
          <w:sz w:val="20"/>
          <w:szCs w:val="20"/>
        </w:rPr>
        <w:t xml:space="preserve">El programa presupuestario E011 “Atención a la Salud” tiene </w:t>
      </w:r>
      <w:r w:rsidR="00361680">
        <w:rPr>
          <w:rFonts w:ascii="Noto Sans" w:hAnsi="Noto Sans" w:cs="Noto Sans"/>
          <w:bCs/>
          <w:sz w:val="20"/>
          <w:szCs w:val="20"/>
        </w:rPr>
        <w:t xml:space="preserve">como objetivo brindar servicios </w:t>
      </w:r>
      <w:r w:rsidRPr="00D9706F">
        <w:rPr>
          <w:rFonts w:ascii="Noto Sans" w:hAnsi="Noto Sans" w:cs="Noto Sans"/>
          <w:bCs/>
          <w:sz w:val="20"/>
          <w:szCs w:val="20"/>
        </w:rPr>
        <w:t>médicos permanentes a la población derechohabiente de</w:t>
      </w:r>
      <w:r w:rsidR="00361680">
        <w:rPr>
          <w:rFonts w:ascii="Noto Sans" w:hAnsi="Noto Sans" w:cs="Noto Sans"/>
          <w:bCs/>
          <w:sz w:val="20"/>
          <w:szCs w:val="20"/>
        </w:rPr>
        <w:t xml:space="preserve">l Instituto Mexicano del Seguro </w:t>
      </w:r>
      <w:r w:rsidRPr="00D9706F">
        <w:rPr>
          <w:rFonts w:ascii="Noto Sans" w:hAnsi="Noto Sans" w:cs="Noto Sans"/>
          <w:bCs/>
          <w:sz w:val="20"/>
          <w:szCs w:val="20"/>
        </w:rPr>
        <w:t>Social (IMSS), abarcando a todos los grupos de edad. Para el ej</w:t>
      </w:r>
      <w:r w:rsidR="00361680">
        <w:rPr>
          <w:rFonts w:ascii="Noto Sans" w:hAnsi="Noto Sans" w:cs="Noto Sans"/>
          <w:bCs/>
          <w:sz w:val="20"/>
          <w:szCs w:val="20"/>
        </w:rPr>
        <w:t xml:space="preserve">ercicio fiscal correspondiente, </w:t>
      </w:r>
      <w:r w:rsidRPr="00D9706F">
        <w:rPr>
          <w:rFonts w:ascii="Noto Sans" w:hAnsi="Noto Sans" w:cs="Noto Sans"/>
          <w:bCs/>
          <w:sz w:val="20"/>
          <w:szCs w:val="20"/>
        </w:rPr>
        <w:t>cuenta con un presupuesto aprob</w:t>
      </w:r>
      <w:r w:rsidR="00361680">
        <w:rPr>
          <w:rFonts w:ascii="Noto Sans" w:hAnsi="Noto Sans" w:cs="Noto Sans"/>
          <w:bCs/>
          <w:sz w:val="20"/>
          <w:szCs w:val="20"/>
        </w:rPr>
        <w:t>ado de $342,575,924,885.00 mdp.</w:t>
      </w:r>
    </w:p>
    <w:p w:rsidR="00D9706F" w:rsidRPr="00D9706F" w:rsidRDefault="00D9706F" w:rsidP="00D9706F">
      <w:pPr>
        <w:spacing w:after="160" w:line="259" w:lineRule="auto"/>
        <w:jc w:val="both"/>
        <w:rPr>
          <w:rFonts w:ascii="Noto Sans" w:hAnsi="Noto Sans" w:cs="Noto Sans"/>
          <w:bCs/>
          <w:sz w:val="20"/>
          <w:szCs w:val="20"/>
        </w:rPr>
      </w:pPr>
      <w:r w:rsidRPr="00D9706F">
        <w:rPr>
          <w:rFonts w:ascii="Noto Sans" w:hAnsi="Noto Sans" w:cs="Noto Sans"/>
          <w:bCs/>
          <w:sz w:val="20"/>
          <w:szCs w:val="20"/>
        </w:rPr>
        <w:t>Este programa concentra sus acciones principalmente en la</w:t>
      </w:r>
      <w:r w:rsidR="00361680">
        <w:rPr>
          <w:rFonts w:ascii="Noto Sans" w:hAnsi="Noto Sans" w:cs="Noto Sans"/>
          <w:bCs/>
          <w:sz w:val="20"/>
          <w:szCs w:val="20"/>
        </w:rPr>
        <w:t xml:space="preserve"> prevención secundaria, la cual </w:t>
      </w:r>
      <w:r w:rsidRPr="00D9706F">
        <w:rPr>
          <w:rFonts w:ascii="Noto Sans" w:hAnsi="Noto Sans" w:cs="Noto Sans"/>
          <w:bCs/>
          <w:sz w:val="20"/>
          <w:szCs w:val="20"/>
        </w:rPr>
        <w:t>comprende diagnóstico clínico y paraclínico, tratamiento farmacológico y no farmacológico</w:t>
      </w:r>
      <w:r w:rsidR="00361680">
        <w:rPr>
          <w:rFonts w:ascii="Noto Sans" w:hAnsi="Noto Sans" w:cs="Noto Sans"/>
          <w:bCs/>
          <w:sz w:val="20"/>
          <w:szCs w:val="20"/>
        </w:rPr>
        <w:t xml:space="preserve"> </w:t>
      </w:r>
      <w:r w:rsidRPr="00D9706F">
        <w:rPr>
          <w:rFonts w:ascii="Noto Sans" w:hAnsi="Noto Sans" w:cs="Noto Sans"/>
          <w:bCs/>
          <w:sz w:val="20"/>
          <w:szCs w:val="20"/>
        </w:rPr>
        <w:lastRenderedPageBreak/>
        <w:t>(promoción de estilos de vida saludables, orientación nutricion</w:t>
      </w:r>
      <w:r w:rsidR="00361680">
        <w:rPr>
          <w:rFonts w:ascii="Noto Sans" w:hAnsi="Noto Sans" w:cs="Noto Sans"/>
          <w:bCs/>
          <w:sz w:val="20"/>
          <w:szCs w:val="20"/>
        </w:rPr>
        <w:t xml:space="preserve">al, atención de trabajo social, </w:t>
      </w:r>
      <w:r w:rsidRPr="00D9706F">
        <w:rPr>
          <w:rFonts w:ascii="Noto Sans" w:hAnsi="Noto Sans" w:cs="Noto Sans"/>
          <w:bCs/>
          <w:sz w:val="20"/>
          <w:szCs w:val="20"/>
        </w:rPr>
        <w:t>psicológica, entre otros), tratamiento quirúrgico, así como t</w:t>
      </w:r>
      <w:r w:rsidR="00361680">
        <w:rPr>
          <w:rFonts w:ascii="Noto Sans" w:hAnsi="Noto Sans" w:cs="Noto Sans"/>
          <w:bCs/>
          <w:sz w:val="20"/>
          <w:szCs w:val="20"/>
        </w:rPr>
        <w:t xml:space="preserve">ratamientos de sustitución o de </w:t>
      </w:r>
      <w:r w:rsidRPr="00D9706F">
        <w:rPr>
          <w:rFonts w:ascii="Noto Sans" w:hAnsi="Noto Sans" w:cs="Noto Sans"/>
          <w:bCs/>
          <w:sz w:val="20"/>
          <w:szCs w:val="20"/>
        </w:rPr>
        <w:t>sostén. Asimismo, contempla acciones de prevención terciaria</w:t>
      </w:r>
      <w:r w:rsidR="00361680">
        <w:rPr>
          <w:rFonts w:ascii="Noto Sans" w:hAnsi="Noto Sans" w:cs="Noto Sans"/>
          <w:bCs/>
          <w:sz w:val="20"/>
          <w:szCs w:val="20"/>
        </w:rPr>
        <w:t xml:space="preserve">, dirigidas a la rehabilitación </w:t>
      </w:r>
      <w:r w:rsidRPr="00D9706F">
        <w:rPr>
          <w:rFonts w:ascii="Noto Sans" w:hAnsi="Noto Sans" w:cs="Noto Sans"/>
          <w:bCs/>
          <w:sz w:val="20"/>
          <w:szCs w:val="20"/>
        </w:rPr>
        <w:t>física, mental y social, así como a cuidados paliativos.</w:t>
      </w:r>
    </w:p>
    <w:p w:rsidR="00D9706F" w:rsidRPr="00D9706F" w:rsidRDefault="00D9706F" w:rsidP="00D9706F">
      <w:pPr>
        <w:spacing w:after="160" w:line="259" w:lineRule="auto"/>
        <w:jc w:val="both"/>
        <w:rPr>
          <w:rFonts w:ascii="Noto Sans" w:hAnsi="Noto Sans" w:cs="Noto Sans"/>
          <w:bCs/>
          <w:sz w:val="20"/>
          <w:szCs w:val="20"/>
        </w:rPr>
      </w:pPr>
      <w:r w:rsidRPr="00D9706F">
        <w:rPr>
          <w:rFonts w:ascii="Noto Sans" w:hAnsi="Noto Sans" w:cs="Noto Sans"/>
          <w:bCs/>
          <w:sz w:val="20"/>
          <w:szCs w:val="20"/>
        </w:rPr>
        <w:t>Los servicios médicos se otorgan en unidades del primer, segu</w:t>
      </w:r>
      <w:r w:rsidR="00361680">
        <w:rPr>
          <w:rFonts w:ascii="Noto Sans" w:hAnsi="Noto Sans" w:cs="Noto Sans"/>
          <w:bCs/>
          <w:sz w:val="20"/>
          <w:szCs w:val="20"/>
        </w:rPr>
        <w:t xml:space="preserve">ndo y tercer nivel de atención, </w:t>
      </w:r>
      <w:r w:rsidRPr="00D9706F">
        <w:rPr>
          <w:rFonts w:ascii="Noto Sans" w:hAnsi="Noto Sans" w:cs="Noto Sans"/>
          <w:bCs/>
          <w:sz w:val="20"/>
          <w:szCs w:val="20"/>
        </w:rPr>
        <w:t>con el propósito de mejorar la calidad de vida y aumentar la e</w:t>
      </w:r>
      <w:r w:rsidR="00361680">
        <w:rPr>
          <w:rFonts w:ascii="Noto Sans" w:hAnsi="Noto Sans" w:cs="Noto Sans"/>
          <w:bCs/>
          <w:sz w:val="20"/>
          <w:szCs w:val="20"/>
        </w:rPr>
        <w:t xml:space="preserve">speranza de vida al nacer de la </w:t>
      </w:r>
      <w:r w:rsidRPr="00D9706F">
        <w:rPr>
          <w:rFonts w:ascii="Noto Sans" w:hAnsi="Noto Sans" w:cs="Noto Sans"/>
          <w:bCs/>
          <w:sz w:val="20"/>
          <w:szCs w:val="20"/>
        </w:rPr>
        <w:t>población derechohabiente.</w:t>
      </w:r>
    </w:p>
    <w:p w:rsidR="00D9706F" w:rsidRPr="00D9706F" w:rsidRDefault="00D9706F" w:rsidP="00D9706F">
      <w:pPr>
        <w:spacing w:after="160" w:line="259" w:lineRule="auto"/>
        <w:jc w:val="both"/>
        <w:rPr>
          <w:rFonts w:ascii="Noto Sans" w:hAnsi="Noto Sans" w:cs="Noto Sans"/>
          <w:bCs/>
          <w:sz w:val="20"/>
          <w:szCs w:val="20"/>
        </w:rPr>
      </w:pPr>
      <w:r w:rsidRPr="00D9706F">
        <w:rPr>
          <w:rFonts w:ascii="Noto Sans" w:hAnsi="Noto Sans" w:cs="Noto Sans"/>
          <w:bCs/>
          <w:sz w:val="20"/>
          <w:szCs w:val="20"/>
        </w:rPr>
        <w:t>En cuanto a la cobertura horaria, los servicios de primer nive</w:t>
      </w:r>
      <w:r w:rsidR="00361680">
        <w:rPr>
          <w:rFonts w:ascii="Noto Sans" w:hAnsi="Noto Sans" w:cs="Noto Sans"/>
          <w:bCs/>
          <w:sz w:val="20"/>
          <w:szCs w:val="20"/>
        </w:rPr>
        <w:t xml:space="preserve">l de atención se brindan en dos </w:t>
      </w:r>
      <w:r w:rsidRPr="00D9706F">
        <w:rPr>
          <w:rFonts w:ascii="Noto Sans" w:hAnsi="Noto Sans" w:cs="Noto Sans"/>
          <w:bCs/>
          <w:sz w:val="20"/>
          <w:szCs w:val="20"/>
        </w:rPr>
        <w:t>turnos (matutino y vespertino), mientras que en el segundo y t</w:t>
      </w:r>
      <w:r w:rsidR="00361680">
        <w:rPr>
          <w:rFonts w:ascii="Noto Sans" w:hAnsi="Noto Sans" w:cs="Noto Sans"/>
          <w:bCs/>
          <w:sz w:val="20"/>
          <w:szCs w:val="20"/>
        </w:rPr>
        <w:t xml:space="preserve">ercer nivel, la atención médica </w:t>
      </w:r>
      <w:r w:rsidRPr="00D9706F">
        <w:rPr>
          <w:rFonts w:ascii="Noto Sans" w:hAnsi="Noto Sans" w:cs="Noto Sans"/>
          <w:bCs/>
          <w:sz w:val="20"/>
          <w:szCs w:val="20"/>
        </w:rPr>
        <w:t>se proporciona las 24 horas del día, los 365 días del año.</w:t>
      </w:r>
    </w:p>
    <w:p w:rsidR="00D9706F" w:rsidRPr="00D9706F" w:rsidRDefault="00D9706F" w:rsidP="00D9706F">
      <w:pPr>
        <w:spacing w:after="160" w:line="259" w:lineRule="auto"/>
        <w:jc w:val="both"/>
        <w:rPr>
          <w:rFonts w:ascii="Noto Sans" w:hAnsi="Noto Sans" w:cs="Noto Sans"/>
          <w:bCs/>
          <w:sz w:val="20"/>
          <w:szCs w:val="20"/>
        </w:rPr>
      </w:pPr>
    </w:p>
    <w:p w:rsidR="00D9706F" w:rsidRPr="00D9706F" w:rsidRDefault="00D9706F" w:rsidP="00D9706F">
      <w:pPr>
        <w:spacing w:after="160" w:line="259" w:lineRule="auto"/>
        <w:jc w:val="both"/>
        <w:rPr>
          <w:rFonts w:ascii="Noto Sans" w:hAnsi="Noto Sans" w:cs="Noto Sans"/>
          <w:bCs/>
          <w:sz w:val="20"/>
          <w:szCs w:val="20"/>
        </w:rPr>
      </w:pPr>
      <w:r w:rsidRPr="00D9706F">
        <w:rPr>
          <w:rFonts w:ascii="Noto Sans" w:hAnsi="Noto Sans" w:cs="Noto Sans"/>
          <w:bCs/>
          <w:sz w:val="20"/>
          <w:szCs w:val="20"/>
        </w:rPr>
        <w:t>El Programa Presupuestario E001 “Atención a la Salud de</w:t>
      </w:r>
      <w:r w:rsidR="00361680">
        <w:rPr>
          <w:rFonts w:ascii="Noto Sans" w:hAnsi="Noto Sans" w:cs="Noto Sans"/>
          <w:bCs/>
          <w:sz w:val="20"/>
          <w:szCs w:val="20"/>
        </w:rPr>
        <w:t xml:space="preserve"> Personas sin Seguridad Social” </w:t>
      </w:r>
      <w:r w:rsidRPr="00D9706F">
        <w:rPr>
          <w:rFonts w:ascii="Noto Sans" w:hAnsi="Noto Sans" w:cs="Noto Sans"/>
          <w:bCs/>
          <w:sz w:val="20"/>
          <w:szCs w:val="20"/>
        </w:rPr>
        <w:t xml:space="preserve">tiene como objetivo mejorar las condiciones de salud de la </w:t>
      </w:r>
      <w:r w:rsidR="00361680">
        <w:rPr>
          <w:rFonts w:ascii="Noto Sans" w:hAnsi="Noto Sans" w:cs="Noto Sans"/>
          <w:bCs/>
          <w:sz w:val="20"/>
          <w:szCs w:val="20"/>
        </w:rPr>
        <w:t xml:space="preserve">población sin seguridad social, </w:t>
      </w:r>
      <w:r w:rsidRPr="00D9706F">
        <w:rPr>
          <w:rFonts w:ascii="Noto Sans" w:hAnsi="Noto Sans" w:cs="Noto Sans"/>
          <w:bCs/>
          <w:sz w:val="20"/>
          <w:szCs w:val="20"/>
        </w:rPr>
        <w:t>mediante la provisión de acciones comunitarias, serv</w:t>
      </w:r>
      <w:r w:rsidR="00361680">
        <w:rPr>
          <w:rFonts w:ascii="Noto Sans" w:hAnsi="Noto Sans" w:cs="Noto Sans"/>
          <w:bCs/>
          <w:sz w:val="20"/>
          <w:szCs w:val="20"/>
        </w:rPr>
        <w:t xml:space="preserve">icios de promoción de la salud, </w:t>
      </w:r>
      <w:r w:rsidRPr="00D9706F">
        <w:rPr>
          <w:rFonts w:ascii="Noto Sans" w:hAnsi="Noto Sans" w:cs="Noto Sans"/>
          <w:bCs/>
          <w:sz w:val="20"/>
          <w:szCs w:val="20"/>
        </w:rPr>
        <w:t>prevención de enfermedades y atención médica ambulatori</w:t>
      </w:r>
      <w:r w:rsidR="00361680">
        <w:rPr>
          <w:rFonts w:ascii="Noto Sans" w:hAnsi="Noto Sans" w:cs="Noto Sans"/>
          <w:bCs/>
          <w:sz w:val="20"/>
          <w:szCs w:val="20"/>
        </w:rPr>
        <w:t xml:space="preserve">a y hospitalaria, los cuales se </w:t>
      </w:r>
      <w:r w:rsidRPr="00D9706F">
        <w:rPr>
          <w:rFonts w:ascii="Noto Sans" w:hAnsi="Noto Sans" w:cs="Noto Sans"/>
          <w:bCs/>
          <w:sz w:val="20"/>
          <w:szCs w:val="20"/>
        </w:rPr>
        <w:t>brindan de manera gratuita, accesible y con calidad.</w:t>
      </w:r>
    </w:p>
    <w:p w:rsidR="00D9706F" w:rsidRPr="00D9706F" w:rsidRDefault="00D9706F" w:rsidP="00D9706F">
      <w:pPr>
        <w:spacing w:after="160" w:line="259" w:lineRule="auto"/>
        <w:jc w:val="both"/>
        <w:rPr>
          <w:rFonts w:ascii="Noto Sans" w:hAnsi="Noto Sans" w:cs="Noto Sans"/>
          <w:bCs/>
          <w:sz w:val="20"/>
          <w:szCs w:val="20"/>
        </w:rPr>
      </w:pPr>
      <w:r w:rsidRPr="00D9706F">
        <w:rPr>
          <w:rFonts w:ascii="Noto Sans" w:hAnsi="Noto Sans" w:cs="Noto Sans"/>
          <w:bCs/>
          <w:sz w:val="20"/>
          <w:szCs w:val="20"/>
        </w:rPr>
        <w:t>Este programa garantiza la cobertura continua de servicios</w:t>
      </w:r>
      <w:r w:rsidR="00361680">
        <w:rPr>
          <w:rFonts w:ascii="Noto Sans" w:hAnsi="Noto Sans" w:cs="Noto Sans"/>
          <w:bCs/>
          <w:sz w:val="20"/>
          <w:szCs w:val="20"/>
        </w:rPr>
        <w:t xml:space="preserve"> de salud durante todo el año a </w:t>
      </w:r>
      <w:r w:rsidRPr="00D9706F">
        <w:rPr>
          <w:rFonts w:ascii="Noto Sans" w:hAnsi="Noto Sans" w:cs="Noto Sans"/>
          <w:bCs/>
          <w:sz w:val="20"/>
          <w:szCs w:val="20"/>
        </w:rPr>
        <w:t>la población sin seguridad social en las entidades federati</w:t>
      </w:r>
      <w:r w:rsidR="00361680">
        <w:rPr>
          <w:rFonts w:ascii="Noto Sans" w:hAnsi="Noto Sans" w:cs="Noto Sans"/>
          <w:bCs/>
          <w:sz w:val="20"/>
          <w:szCs w:val="20"/>
        </w:rPr>
        <w:t xml:space="preserve">vas concurrentes, contribuyendo </w:t>
      </w:r>
      <w:r w:rsidRPr="00D9706F">
        <w:rPr>
          <w:rFonts w:ascii="Noto Sans" w:hAnsi="Noto Sans" w:cs="Noto Sans"/>
          <w:bCs/>
          <w:sz w:val="20"/>
          <w:szCs w:val="20"/>
        </w:rPr>
        <w:t>así a reducir las brechas de acceso y mejorar los ind</w:t>
      </w:r>
      <w:r w:rsidR="00361680">
        <w:rPr>
          <w:rFonts w:ascii="Noto Sans" w:hAnsi="Noto Sans" w:cs="Noto Sans"/>
          <w:bCs/>
          <w:sz w:val="20"/>
          <w:szCs w:val="20"/>
        </w:rPr>
        <w:t xml:space="preserve">icadores de salud en este grupo </w:t>
      </w:r>
      <w:r w:rsidRPr="00D9706F">
        <w:rPr>
          <w:rFonts w:ascii="Noto Sans" w:hAnsi="Noto Sans" w:cs="Noto Sans"/>
          <w:bCs/>
          <w:sz w:val="20"/>
          <w:szCs w:val="20"/>
        </w:rPr>
        <w:t>poblacional.</w:t>
      </w:r>
    </w:p>
    <w:p w:rsidR="00D9706F" w:rsidRPr="00361680" w:rsidRDefault="00D9706F" w:rsidP="00D9706F">
      <w:pPr>
        <w:spacing w:after="160" w:line="259" w:lineRule="auto"/>
        <w:jc w:val="both"/>
        <w:rPr>
          <w:rFonts w:ascii="Noto Sans" w:hAnsi="Noto Sans" w:cs="Noto Sans"/>
          <w:bCs/>
          <w:sz w:val="20"/>
          <w:szCs w:val="20"/>
        </w:rPr>
      </w:pPr>
      <w:r w:rsidRPr="00D9706F">
        <w:rPr>
          <w:rFonts w:ascii="Noto Sans" w:hAnsi="Noto Sans" w:cs="Noto Sans"/>
          <w:bCs/>
          <w:sz w:val="20"/>
          <w:szCs w:val="20"/>
        </w:rPr>
        <w:t>Para el ejercicio fiscal en curso, el programa cuenta</w:t>
      </w:r>
      <w:r w:rsidR="00361680">
        <w:rPr>
          <w:rFonts w:ascii="Noto Sans" w:hAnsi="Noto Sans" w:cs="Noto Sans"/>
          <w:bCs/>
          <w:sz w:val="20"/>
          <w:szCs w:val="20"/>
        </w:rPr>
        <w:t xml:space="preserve"> con un presupuesto aprobado de </w:t>
      </w:r>
      <w:r w:rsidRPr="00D9706F">
        <w:rPr>
          <w:rFonts w:ascii="Noto Sans" w:hAnsi="Noto Sans" w:cs="Noto Sans"/>
          <w:bCs/>
          <w:sz w:val="20"/>
          <w:szCs w:val="20"/>
        </w:rPr>
        <w:t>$66,148,548,169.00 pesos, con el cual se financian las a</w:t>
      </w:r>
      <w:r w:rsidR="00361680">
        <w:rPr>
          <w:rFonts w:ascii="Noto Sans" w:hAnsi="Noto Sans" w:cs="Noto Sans"/>
          <w:bCs/>
          <w:sz w:val="20"/>
          <w:szCs w:val="20"/>
        </w:rPr>
        <w:t xml:space="preserve">cciones necesarias para cumplir </w:t>
      </w:r>
      <w:r w:rsidRPr="00D9706F">
        <w:rPr>
          <w:rFonts w:ascii="Noto Sans" w:hAnsi="Noto Sans" w:cs="Noto Sans"/>
          <w:bCs/>
          <w:sz w:val="20"/>
          <w:szCs w:val="20"/>
        </w:rPr>
        <w:t>con su propósito fundamental de garantizar el derecho</w:t>
      </w:r>
      <w:r w:rsidR="00361680">
        <w:rPr>
          <w:rFonts w:ascii="Noto Sans" w:hAnsi="Noto Sans" w:cs="Noto Sans"/>
          <w:bCs/>
          <w:sz w:val="20"/>
          <w:szCs w:val="20"/>
        </w:rPr>
        <w:t xml:space="preserve"> a la salud de las personas sin </w:t>
      </w:r>
      <w:r w:rsidRPr="00D9706F">
        <w:rPr>
          <w:rFonts w:ascii="Noto Sans" w:hAnsi="Noto Sans" w:cs="Noto Sans"/>
          <w:bCs/>
          <w:sz w:val="20"/>
          <w:szCs w:val="20"/>
        </w:rPr>
        <w:t>seguridad social</w:t>
      </w:r>
      <w:r w:rsidRPr="00D9706F">
        <w:rPr>
          <w:rFonts w:ascii="Noto Sans" w:hAnsi="Noto Sans" w:cs="Noto Sans"/>
          <w:b/>
          <w:bCs/>
          <w:sz w:val="20"/>
          <w:szCs w:val="20"/>
        </w:rPr>
        <w:t>.</w:t>
      </w:r>
    </w:p>
    <w:p w:rsidR="007E3D6B" w:rsidRPr="007715DC" w:rsidRDefault="007E3D6B" w:rsidP="00D9706F">
      <w:pPr>
        <w:spacing w:after="160" w:line="259" w:lineRule="auto"/>
        <w:jc w:val="both"/>
        <w:rPr>
          <w:rFonts w:ascii="Noto Sans" w:hAnsi="Noto Sans" w:cs="Noto Sans"/>
          <w:b/>
          <w:bCs/>
          <w:sz w:val="20"/>
          <w:szCs w:val="20"/>
        </w:rPr>
      </w:pPr>
      <w:r w:rsidRPr="007715DC">
        <w:rPr>
          <w:rFonts w:ascii="Noto Sans" w:hAnsi="Noto Sans" w:cs="Noto Sans"/>
          <w:b/>
          <w:bCs/>
          <w:sz w:val="20"/>
          <w:szCs w:val="20"/>
        </w:rPr>
        <w:t>Experiencias Internacionales</w:t>
      </w:r>
    </w:p>
    <w:p w:rsidR="007E3D6B" w:rsidRPr="007715DC" w:rsidRDefault="007E3D6B" w:rsidP="002D62D2">
      <w:pPr>
        <w:spacing w:after="160" w:line="259" w:lineRule="auto"/>
        <w:jc w:val="both"/>
        <w:rPr>
          <w:rFonts w:ascii="Noto Sans" w:hAnsi="Noto Sans" w:cs="Noto Sans"/>
          <w:sz w:val="20"/>
          <w:szCs w:val="20"/>
        </w:rPr>
      </w:pPr>
      <w:r w:rsidRPr="007715DC">
        <w:rPr>
          <w:rFonts w:ascii="Noto Sans" w:hAnsi="Noto Sans" w:cs="Noto Sans"/>
          <w:sz w:val="20"/>
          <w:szCs w:val="20"/>
        </w:rPr>
        <w:t>La evidencia internacional ha demostrado otras formas de incrementar el acceso a servicios especializados, entre las cuales destacan la implementación de tecnologías de la información y la comunicación, facilitando así el acceso a especialistas y servicios de mayor complejidad [54,55). A continuación, se describen las experiencias puntuales en diversos países como Estados Unidos, Canadá y Australia.</w:t>
      </w:r>
    </w:p>
    <w:p w:rsidR="007E3D6B" w:rsidRPr="007715DC" w:rsidRDefault="007E3D6B" w:rsidP="002D62D2">
      <w:pPr>
        <w:spacing w:after="160" w:line="259" w:lineRule="auto"/>
        <w:jc w:val="both"/>
        <w:rPr>
          <w:rFonts w:ascii="Noto Sans" w:hAnsi="Noto Sans" w:cs="Noto Sans"/>
          <w:sz w:val="20"/>
          <w:szCs w:val="20"/>
        </w:rPr>
      </w:pPr>
      <w:r w:rsidRPr="007715DC">
        <w:rPr>
          <w:rFonts w:ascii="Noto Sans" w:hAnsi="Noto Sans" w:cs="Noto Sans"/>
          <w:sz w:val="20"/>
          <w:szCs w:val="20"/>
        </w:rPr>
        <w:t>En Estad</w:t>
      </w:r>
      <w:r w:rsidR="00DC53B2" w:rsidRPr="007715DC">
        <w:rPr>
          <w:rFonts w:ascii="Noto Sans" w:hAnsi="Noto Sans" w:cs="Noto Sans"/>
          <w:sz w:val="20"/>
          <w:szCs w:val="20"/>
        </w:rPr>
        <w:t>os Unidos, Newman ED y cols</w:t>
      </w:r>
      <w:r w:rsidRPr="007715DC">
        <w:rPr>
          <w:rFonts w:ascii="Noto Sans" w:hAnsi="Noto Sans" w:cs="Noto Sans"/>
          <w:sz w:val="20"/>
          <w:szCs w:val="20"/>
        </w:rPr>
        <w:t xml:space="preserve"> evaluaron el impacto de la implementación del programa llamado Ask-a-Doc (AAD, por sus siglas en inglés) el cual tiene por objetivo mejorar la comunicación asincrónica entre los proveedores de atención primaria y proveedores de atención especializada y que fue integrado dentro del sistema de registros médicos electrónicos. Los autores encontraron que la implementación del programa AAD mejoró la comunicación entre los proveedores de atención primaria con especialistas. Lo que a su vez puede conducir a una atención más eficiente al mostrar una reducción de las visitas al servicio de urgencias (11% durante el primer mes), las visitas a atención primaria (10%) y las visitas a especialistas (74%), así como los costos evitables (reducción de aproximadamente el 14% en el </w:t>
      </w:r>
      <w:r w:rsidRPr="007715DC">
        <w:rPr>
          <w:rFonts w:ascii="Noto Sans" w:hAnsi="Noto Sans" w:cs="Noto Sans"/>
          <w:sz w:val="20"/>
          <w:szCs w:val="20"/>
        </w:rPr>
        <w:lastRenderedPageBreak/>
        <w:t>costo total, incluidos los medicamentos). Asimismo, el programa condujo potencialmente a reducciones en la atención evitable y el uso más eficiente de la atención especializada.</w:t>
      </w:r>
    </w:p>
    <w:p w:rsidR="007E3D6B" w:rsidRPr="007715DC" w:rsidRDefault="007E3D6B" w:rsidP="002D62D2">
      <w:pPr>
        <w:spacing w:after="160" w:line="259" w:lineRule="auto"/>
        <w:jc w:val="both"/>
        <w:rPr>
          <w:rFonts w:ascii="Noto Sans" w:hAnsi="Noto Sans" w:cs="Noto Sans"/>
          <w:sz w:val="20"/>
          <w:szCs w:val="20"/>
        </w:rPr>
      </w:pPr>
      <w:r w:rsidRPr="007715DC">
        <w:rPr>
          <w:rFonts w:ascii="Noto Sans" w:hAnsi="Noto Sans" w:cs="Noto Sans"/>
          <w:sz w:val="20"/>
          <w:szCs w:val="20"/>
        </w:rPr>
        <w:t>La revisión r</w:t>
      </w:r>
      <w:r w:rsidR="006F7F21" w:rsidRPr="007715DC">
        <w:rPr>
          <w:rFonts w:ascii="Noto Sans" w:hAnsi="Noto Sans" w:cs="Noto Sans"/>
          <w:sz w:val="20"/>
          <w:szCs w:val="20"/>
        </w:rPr>
        <w:t xml:space="preserve">ealizada por Woo BFY y cols </w:t>
      </w:r>
      <w:r w:rsidRPr="007715DC">
        <w:rPr>
          <w:rFonts w:ascii="Noto Sans" w:hAnsi="Noto Sans" w:cs="Noto Sans"/>
          <w:sz w:val="20"/>
          <w:szCs w:val="20"/>
        </w:rPr>
        <w:t xml:space="preserve">, sintetizaron evidencia sobre los beneficios de la integración del personal de enfermería en la práctica especializada y los resultados de los pacientes. Se encontró que la participación de personal de enfermería en la práctica avanzada en emergencias y cuidados intensivos mejoró la duración de la estancia hospitalaria (disminución de tiempos), el tiempo hasta la consulta/tratamiento, disminución de la mortalidad, incremento en la satisfacción del paciente y el ahorro de costos asociados a la atención. </w:t>
      </w:r>
    </w:p>
    <w:p w:rsidR="007E3D6B" w:rsidRPr="007715DC" w:rsidRDefault="007E3D6B" w:rsidP="002D62D2">
      <w:pPr>
        <w:spacing w:after="160" w:line="259" w:lineRule="auto"/>
        <w:jc w:val="both"/>
        <w:rPr>
          <w:rFonts w:ascii="Noto Sans" w:hAnsi="Noto Sans" w:cs="Noto Sans"/>
          <w:sz w:val="20"/>
          <w:szCs w:val="20"/>
        </w:rPr>
      </w:pPr>
      <w:r w:rsidRPr="007715DC">
        <w:rPr>
          <w:rFonts w:ascii="Noto Sans" w:hAnsi="Noto Sans" w:cs="Noto Sans"/>
          <w:sz w:val="20"/>
          <w:szCs w:val="20"/>
        </w:rPr>
        <w:t>El estudio pu</w:t>
      </w:r>
      <w:r w:rsidR="006F7F21" w:rsidRPr="007715DC">
        <w:rPr>
          <w:rFonts w:ascii="Noto Sans" w:hAnsi="Noto Sans" w:cs="Noto Sans"/>
          <w:sz w:val="20"/>
          <w:szCs w:val="20"/>
        </w:rPr>
        <w:t>blicado por Duncan R y cols</w:t>
      </w:r>
      <w:r w:rsidRPr="007715DC">
        <w:rPr>
          <w:rFonts w:ascii="Noto Sans" w:hAnsi="Noto Sans" w:cs="Noto Sans"/>
          <w:sz w:val="20"/>
          <w:szCs w:val="20"/>
        </w:rPr>
        <w:t>, demostraron que la evaluación periódica de los servicios de especialidades en Canadá, específicamente de atención de reumatología también mostró beneficios al mejorar el acceso de las y los usuarios que utilizan los servicios de manera constante, esto se vio reflejado en el</w:t>
      </w:r>
      <w:r w:rsidR="009E77FF" w:rsidRPr="007715DC">
        <w:rPr>
          <w:rFonts w:ascii="Noto Sans" w:hAnsi="Noto Sans" w:cs="Noto Sans"/>
          <w:sz w:val="20"/>
          <w:szCs w:val="20"/>
        </w:rPr>
        <w:t xml:space="preserve"> </w:t>
      </w:r>
      <w:r w:rsidRPr="007715DC">
        <w:rPr>
          <w:rFonts w:ascii="Noto Sans" w:hAnsi="Noto Sans" w:cs="Noto Sans"/>
          <w:sz w:val="20"/>
          <w:szCs w:val="20"/>
        </w:rPr>
        <w:t>incrementó en el número de pacientes únicos atendidos por mes entre 4.9% (IC del 95%: 0.2% a 9.9%, p=0.049) y un 12.9% (IC del 95%: 0.2% a 9.9%, p=0.049). También se observó un aumento similar en la cantidad de servicios por mes que brindan los especialistas en reumatología.</w:t>
      </w:r>
    </w:p>
    <w:p w:rsidR="007E3D6B" w:rsidRPr="007715DC" w:rsidRDefault="007E3D6B" w:rsidP="002D62D2">
      <w:pPr>
        <w:spacing w:after="160" w:line="259" w:lineRule="auto"/>
        <w:jc w:val="both"/>
        <w:rPr>
          <w:rFonts w:ascii="Noto Sans" w:hAnsi="Noto Sans" w:cs="Noto Sans"/>
          <w:sz w:val="20"/>
          <w:szCs w:val="20"/>
        </w:rPr>
      </w:pPr>
      <w:r w:rsidRPr="007715DC">
        <w:rPr>
          <w:rFonts w:ascii="Noto Sans" w:hAnsi="Noto Sans" w:cs="Noto Sans"/>
          <w:sz w:val="20"/>
          <w:szCs w:val="20"/>
        </w:rPr>
        <w:t>Intervenciones para la mejora de la calidad han demostrado ser efectivas para incrementar el uso de los servicios de especialidades. En Estado</w:t>
      </w:r>
      <w:r w:rsidR="006F7F21" w:rsidRPr="007715DC">
        <w:rPr>
          <w:rFonts w:ascii="Noto Sans" w:hAnsi="Noto Sans" w:cs="Noto Sans"/>
          <w:sz w:val="20"/>
          <w:szCs w:val="20"/>
        </w:rPr>
        <w:t>s Unidos, Heptulla R y cols</w:t>
      </w:r>
      <w:r w:rsidRPr="007715DC">
        <w:rPr>
          <w:rFonts w:ascii="Noto Sans" w:hAnsi="Noto Sans" w:cs="Noto Sans"/>
          <w:sz w:val="20"/>
          <w:szCs w:val="20"/>
        </w:rPr>
        <w:t xml:space="preserve"> implementaron tres estrategias para aumentar el número de espacios para citas de endocrinología pediátrica y con ello mejorar la programación: se garantizó el registro de las citas de nuevos pacientes evitando que</w:t>
      </w:r>
      <w:r w:rsidR="00DC53B2" w:rsidRPr="007715DC">
        <w:rPr>
          <w:rFonts w:ascii="Noto Sans" w:hAnsi="Noto Sans" w:cs="Noto Sans"/>
          <w:sz w:val="20"/>
          <w:szCs w:val="20"/>
        </w:rPr>
        <w:t xml:space="preserve"> estas fueran programadas como </w:t>
      </w:r>
      <w:r w:rsidRPr="007715DC">
        <w:rPr>
          <w:rFonts w:ascii="Noto Sans" w:hAnsi="Noto Sans" w:cs="Noto Sans"/>
          <w:sz w:val="20"/>
          <w:szCs w:val="20"/>
        </w:rPr>
        <w:t xml:space="preserve">de seguimiento; se programó que todo el personal médico atendiera de 3 a 4 pacientes nuevos por sesión; y se agregaron sesiones dedicadas exclusivamente a citas de seguimiento según la demanda. Entre los principales resultados se obtuvo que la espera promedio para la cita de un nuevo paciente disminuyó de 11.4 a 1.7 semanas (P&lt;0.001) y el tiempo de espera para la cita de seguimiento disminuyó de 8.2 a 2.9 semanas (P&lt;0.001). Mientras que el volumen total medio de visitas mensuales aumentó de 284 a 366 visitas de pacientes (P&lt;0.01) y el volumen medio de visitas mensuales por proveedor aumentó de 36.8 a 41.0 pacientes (P=0.08). </w:t>
      </w:r>
    </w:p>
    <w:p w:rsidR="007E3D6B" w:rsidRPr="007715DC" w:rsidRDefault="007E3D6B" w:rsidP="002D62D2">
      <w:pPr>
        <w:spacing w:after="160" w:line="259" w:lineRule="auto"/>
        <w:jc w:val="both"/>
        <w:rPr>
          <w:rFonts w:ascii="Noto Sans" w:hAnsi="Noto Sans" w:cs="Noto Sans"/>
          <w:sz w:val="20"/>
          <w:szCs w:val="20"/>
        </w:rPr>
      </w:pPr>
      <w:r w:rsidRPr="007715DC">
        <w:rPr>
          <w:rFonts w:ascii="Noto Sans" w:hAnsi="Noto Sans" w:cs="Noto Sans"/>
          <w:sz w:val="20"/>
          <w:szCs w:val="20"/>
        </w:rPr>
        <w:t>La inversión en equipamiento e infraestructura es otra estrategia utilizada para mejorar los servicios de especialidad. En</w:t>
      </w:r>
      <w:r w:rsidR="00DC53B2" w:rsidRPr="007715DC">
        <w:rPr>
          <w:rFonts w:ascii="Noto Sans" w:hAnsi="Noto Sans" w:cs="Noto Sans"/>
          <w:sz w:val="20"/>
          <w:szCs w:val="20"/>
        </w:rPr>
        <w:t xml:space="preserve"> Australia, Taylor E y cols</w:t>
      </w:r>
      <w:r w:rsidRPr="007715DC">
        <w:rPr>
          <w:rFonts w:ascii="Noto Sans" w:hAnsi="Noto Sans" w:cs="Noto Sans"/>
          <w:sz w:val="20"/>
          <w:szCs w:val="20"/>
        </w:rPr>
        <w:t>, señalan que el establecimiento de unidades especializadas que brinda radioterapia, quimioterapia y otros servicios especializados para cáncer, así como la reciente inversión en equipos de tomografía por emisión de positrones han reducido la necesidad de los pacientes de viajar para el diagnóstico y tratamiento del cáncer. Asimismo, la construcción y operación de unidades de estancia diurnas de quimioterapia en los hospitales y la rápida expansión de la tele-oncología también han reducido los viajes de los pacientes dentro del país.</w:t>
      </w:r>
    </w:p>
    <w:p w:rsidR="007E3D6B" w:rsidRPr="007715DC" w:rsidRDefault="007E3D6B" w:rsidP="002D62D2">
      <w:pPr>
        <w:spacing w:after="160" w:line="259" w:lineRule="auto"/>
        <w:jc w:val="both"/>
        <w:rPr>
          <w:rFonts w:ascii="Noto Sans" w:hAnsi="Noto Sans" w:cs="Noto Sans"/>
          <w:sz w:val="20"/>
          <w:szCs w:val="20"/>
        </w:rPr>
      </w:pPr>
      <w:r w:rsidRPr="007715DC">
        <w:rPr>
          <w:rFonts w:ascii="Noto Sans" w:hAnsi="Noto Sans" w:cs="Noto Sans"/>
          <w:sz w:val="20"/>
          <w:szCs w:val="20"/>
        </w:rPr>
        <w:t>Por otra parte, la ampliación de los servicios de salud a través de la telesalud ha demostrado ser un facilitador para el acceso a especialistas y servicios de mayor com</w:t>
      </w:r>
      <w:r w:rsidR="00DC53B2" w:rsidRPr="007715DC">
        <w:rPr>
          <w:rFonts w:ascii="Noto Sans" w:hAnsi="Noto Sans" w:cs="Noto Sans"/>
          <w:sz w:val="20"/>
          <w:szCs w:val="20"/>
        </w:rPr>
        <w:t>plejidad</w:t>
      </w:r>
      <w:r w:rsidRPr="007715DC">
        <w:rPr>
          <w:rFonts w:ascii="Noto Sans" w:hAnsi="Noto Sans" w:cs="Noto Sans"/>
          <w:sz w:val="20"/>
          <w:szCs w:val="20"/>
        </w:rPr>
        <w:t xml:space="preserve">. La utilización adecuada de la telesalud puede reducir los obstáculos para el acceso a la atención causados por barreras geográficas, distribución inadecuada de proveedores de salud, costos y falta de </w:t>
      </w:r>
      <w:r w:rsidRPr="007715DC">
        <w:rPr>
          <w:rFonts w:ascii="Noto Sans" w:hAnsi="Noto Sans" w:cs="Noto Sans"/>
          <w:sz w:val="20"/>
          <w:szCs w:val="20"/>
        </w:rPr>
        <w:lastRenderedPageBreak/>
        <w:t>supervisión y apoyo de trabajadores sanitarios a nivel de atención primaria. Sin embargo, la mayoría de las conclusiones anteriores se extraen de países desarrollados, y se ha establecido relativamente poca evidencia en países subdesarrollados como lo es</w:t>
      </w:r>
      <w:r w:rsidR="006F7F21" w:rsidRPr="007715DC">
        <w:rPr>
          <w:rFonts w:ascii="Noto Sans" w:hAnsi="Noto Sans" w:cs="Noto Sans"/>
          <w:sz w:val="20"/>
          <w:szCs w:val="20"/>
        </w:rPr>
        <w:t xml:space="preserve"> México</w:t>
      </w:r>
      <w:r w:rsidRPr="007715DC">
        <w:rPr>
          <w:rFonts w:ascii="Noto Sans" w:hAnsi="Noto Sans" w:cs="Noto Sans"/>
          <w:sz w:val="20"/>
          <w:szCs w:val="20"/>
        </w:rPr>
        <w:t>.</w:t>
      </w:r>
    </w:p>
    <w:p w:rsidR="007715DC" w:rsidRPr="007715DC" w:rsidRDefault="007E3D6B" w:rsidP="002D62D2">
      <w:pPr>
        <w:spacing w:after="160" w:line="259" w:lineRule="auto"/>
        <w:jc w:val="both"/>
        <w:rPr>
          <w:rFonts w:ascii="Noto Sans" w:hAnsi="Noto Sans" w:cs="Noto Sans"/>
          <w:sz w:val="20"/>
          <w:szCs w:val="20"/>
        </w:rPr>
      </w:pPr>
      <w:r w:rsidRPr="007715DC">
        <w:rPr>
          <w:rFonts w:ascii="Noto Sans" w:hAnsi="Noto Sans" w:cs="Noto Sans"/>
          <w:sz w:val="20"/>
          <w:szCs w:val="20"/>
        </w:rPr>
        <w:t>Además de las estrategias previamente mencionadas, es importante señalar que los esfuerzos futuros deben de centrarse en aumentar y mejorar la asistencia y el apoyo en viajes de las y los usuarios, así como aumentar la disponibilidad de alojamiento adecuado; implementar estrategias para mejorar la contratación y retención de profesionales de la salud, en particular profesionales de la salud en zonas indígenas; y ampliar el uso de la telesalud como medio para brindar atención y tratamiento de patologías que requiere</w:t>
      </w:r>
      <w:r w:rsidR="006F7F21" w:rsidRPr="007715DC">
        <w:rPr>
          <w:rFonts w:ascii="Noto Sans" w:hAnsi="Noto Sans" w:cs="Noto Sans"/>
          <w:sz w:val="20"/>
          <w:szCs w:val="20"/>
        </w:rPr>
        <w:t>n de atención a largo plazo</w:t>
      </w:r>
      <w:r w:rsidRPr="007715DC">
        <w:rPr>
          <w:rFonts w:ascii="Noto Sans" w:hAnsi="Noto Sans" w:cs="Noto Sans"/>
          <w:sz w:val="20"/>
          <w:szCs w:val="20"/>
        </w:rPr>
        <w:t>.</w:t>
      </w:r>
    </w:p>
    <w:p w:rsidR="000C5AC9" w:rsidRPr="009E77FF" w:rsidRDefault="000C5AC9" w:rsidP="002D62D2">
      <w:pPr>
        <w:spacing w:after="160" w:line="259" w:lineRule="auto"/>
        <w:jc w:val="both"/>
        <w:rPr>
          <w:rFonts w:ascii="Noto Sans" w:hAnsi="Noto Sans" w:cs="Noto Sans"/>
          <w:sz w:val="20"/>
          <w:szCs w:val="20"/>
        </w:rPr>
      </w:pPr>
      <w:r w:rsidRPr="009E77FF">
        <w:rPr>
          <w:rFonts w:ascii="Noto Sans" w:hAnsi="Noto Sans" w:cs="Noto Sans"/>
          <w:sz w:val="20"/>
          <w:szCs w:val="20"/>
        </w:rPr>
        <w:br w:type="page"/>
      </w:r>
    </w:p>
    <w:p w:rsidR="00AE26B5" w:rsidRPr="009E77FF" w:rsidRDefault="00AE26B5" w:rsidP="005E6276">
      <w:pPr>
        <w:pStyle w:val="Ttulo1"/>
        <w:numPr>
          <w:ilvl w:val="0"/>
          <w:numId w:val="1"/>
        </w:numPr>
        <w:spacing w:before="120" w:after="120" w:line="276" w:lineRule="auto"/>
        <w:rPr>
          <w:rFonts w:ascii="Noto Sans" w:hAnsi="Noto Sans" w:cs="Noto Sans"/>
          <w:b/>
          <w:color w:val="1E5B4F"/>
          <w:sz w:val="20"/>
          <w:szCs w:val="20"/>
        </w:rPr>
      </w:pPr>
      <w:bookmarkStart w:id="5" w:name="_Toc201830222"/>
      <w:r w:rsidRPr="009E77FF">
        <w:rPr>
          <w:rFonts w:ascii="Noto Sans" w:hAnsi="Noto Sans" w:cs="Noto Sans"/>
          <w:b/>
          <w:color w:val="1E5B4F"/>
          <w:sz w:val="20"/>
          <w:szCs w:val="20"/>
        </w:rPr>
        <w:lastRenderedPageBreak/>
        <w:t>Análisis de poblaciones</w:t>
      </w:r>
      <w:bookmarkEnd w:id="5"/>
    </w:p>
    <w:p w:rsidR="00011D50" w:rsidRPr="009E77FF" w:rsidRDefault="002D7BA2" w:rsidP="005E6276">
      <w:pPr>
        <w:pStyle w:val="Ttulo2"/>
        <w:numPr>
          <w:ilvl w:val="1"/>
          <w:numId w:val="1"/>
        </w:numPr>
        <w:spacing w:before="120" w:after="120" w:line="276" w:lineRule="auto"/>
        <w:rPr>
          <w:rFonts w:ascii="Noto Sans" w:hAnsi="Noto Sans" w:cs="Noto Sans"/>
          <w:b/>
          <w:color w:val="1E5B4F"/>
          <w:sz w:val="20"/>
          <w:szCs w:val="20"/>
        </w:rPr>
      </w:pPr>
      <w:bookmarkStart w:id="6" w:name="_Toc201830223"/>
      <w:r w:rsidRPr="009E77FF">
        <w:rPr>
          <w:rFonts w:ascii="Noto Sans" w:hAnsi="Noto Sans" w:cs="Noto Sans"/>
          <w:b/>
          <w:color w:val="1E5B4F"/>
          <w:sz w:val="20"/>
          <w:szCs w:val="20"/>
        </w:rPr>
        <w:t>Población potencial</w:t>
      </w:r>
      <w:bookmarkEnd w:id="6"/>
    </w:p>
    <w:p w:rsidR="008F330D" w:rsidRDefault="00BC1CFA" w:rsidP="008F330D">
      <w:pPr>
        <w:rPr>
          <w:rFonts w:ascii="Noto Sans" w:hAnsi="Noto Sans" w:cs="Noto Sans"/>
          <w:sz w:val="20"/>
          <w:szCs w:val="20"/>
        </w:rPr>
      </w:pPr>
      <w:r>
        <w:rPr>
          <w:rFonts w:ascii="Noto Sans" w:hAnsi="Noto Sans" w:cs="Noto Sans"/>
          <w:sz w:val="20"/>
          <w:szCs w:val="20"/>
        </w:rPr>
        <w:t xml:space="preserve">Personas </w:t>
      </w:r>
      <w:r w:rsidR="00086214" w:rsidRPr="009E77FF">
        <w:rPr>
          <w:rFonts w:ascii="Noto Sans" w:hAnsi="Noto Sans" w:cs="Noto Sans"/>
          <w:sz w:val="20"/>
          <w:szCs w:val="20"/>
        </w:rPr>
        <w:t>sin seguridad social que requiera servicios de salud</w:t>
      </w:r>
    </w:p>
    <w:p w:rsidR="002D7BA2" w:rsidRPr="009E77FF" w:rsidRDefault="002D7BA2" w:rsidP="005E6276">
      <w:pPr>
        <w:pStyle w:val="Ttulo2"/>
        <w:numPr>
          <w:ilvl w:val="1"/>
          <w:numId w:val="1"/>
        </w:numPr>
        <w:spacing w:before="120" w:after="120" w:line="276" w:lineRule="auto"/>
        <w:rPr>
          <w:rFonts w:ascii="Noto Sans" w:hAnsi="Noto Sans" w:cs="Noto Sans"/>
          <w:b/>
          <w:color w:val="1E5B4F"/>
          <w:sz w:val="20"/>
          <w:szCs w:val="20"/>
        </w:rPr>
      </w:pPr>
      <w:bookmarkStart w:id="7" w:name="_Toc201830224"/>
      <w:r w:rsidRPr="009E77FF">
        <w:rPr>
          <w:rFonts w:ascii="Noto Sans" w:hAnsi="Noto Sans" w:cs="Noto Sans"/>
          <w:b/>
          <w:color w:val="1E5B4F"/>
          <w:sz w:val="20"/>
          <w:szCs w:val="20"/>
        </w:rPr>
        <w:t>Población objetivo</w:t>
      </w:r>
      <w:bookmarkEnd w:id="7"/>
    </w:p>
    <w:p w:rsidR="00BC1CFA" w:rsidRPr="009E77FF" w:rsidRDefault="00BC1CFA" w:rsidP="009D195E">
      <w:pPr>
        <w:rPr>
          <w:rFonts w:ascii="Noto Sans" w:hAnsi="Noto Sans" w:cs="Noto Sans"/>
          <w:sz w:val="20"/>
          <w:szCs w:val="20"/>
        </w:rPr>
      </w:pPr>
      <w:r w:rsidRPr="00BC1CFA">
        <w:rPr>
          <w:rFonts w:ascii="Noto Sans" w:hAnsi="Noto Sans" w:cs="Noto Sans"/>
          <w:sz w:val="20"/>
          <w:szCs w:val="20"/>
        </w:rPr>
        <w:t>Personas sin seguridad social con dificultades para acceder a servicios de salud de e</w:t>
      </w:r>
      <w:r w:rsidR="00D9706F">
        <w:rPr>
          <w:rFonts w:ascii="Noto Sans" w:hAnsi="Noto Sans" w:cs="Noto Sans"/>
          <w:sz w:val="20"/>
          <w:szCs w:val="20"/>
        </w:rPr>
        <w:t>specialidad y alta especialidad que se atiendan en el tercer nivel de atención.</w:t>
      </w:r>
    </w:p>
    <w:p w:rsidR="00473B1F" w:rsidRPr="009E77FF" w:rsidRDefault="00554076" w:rsidP="005E6276">
      <w:pPr>
        <w:pStyle w:val="Ttulo2"/>
        <w:numPr>
          <w:ilvl w:val="1"/>
          <w:numId w:val="1"/>
        </w:numPr>
        <w:spacing w:before="120" w:after="120" w:line="276" w:lineRule="auto"/>
        <w:rPr>
          <w:rFonts w:ascii="Noto Sans" w:hAnsi="Noto Sans" w:cs="Noto Sans"/>
          <w:b/>
          <w:color w:val="1E5B4F"/>
          <w:sz w:val="20"/>
          <w:szCs w:val="20"/>
        </w:rPr>
      </w:pPr>
      <w:bookmarkStart w:id="8" w:name="_Toc201830225"/>
      <w:r w:rsidRPr="009E77FF">
        <w:rPr>
          <w:rFonts w:ascii="Noto Sans" w:hAnsi="Noto Sans" w:cs="Noto Sans"/>
          <w:b/>
          <w:color w:val="1E5B4F"/>
          <w:sz w:val="20"/>
          <w:szCs w:val="20"/>
        </w:rPr>
        <w:t>Fuente de información y frecuencia de actualización</w:t>
      </w:r>
      <w:bookmarkEnd w:id="8"/>
    </w:p>
    <w:p w:rsidR="006E0DC6" w:rsidRDefault="00D9706F" w:rsidP="006E0DC6">
      <w:pPr>
        <w:spacing w:before="120" w:after="120" w:line="276" w:lineRule="auto"/>
        <w:jc w:val="both"/>
        <w:rPr>
          <w:rFonts w:ascii="Noto Sans" w:hAnsi="Noto Sans" w:cs="Noto Sans"/>
          <w:sz w:val="20"/>
          <w:szCs w:val="20"/>
        </w:rPr>
      </w:pPr>
      <w:bookmarkStart w:id="9" w:name="_Toc201830226"/>
      <w:r>
        <w:rPr>
          <w:rFonts w:ascii="Noto Sans" w:hAnsi="Noto Sans" w:cs="Noto Sans"/>
          <w:sz w:val="20"/>
          <w:szCs w:val="20"/>
        </w:rPr>
        <w:t>FUENTE DE INFORMACIÓN:</w:t>
      </w:r>
    </w:p>
    <w:p w:rsidR="00D9706F" w:rsidRDefault="00D9706F" w:rsidP="006E0DC6">
      <w:pPr>
        <w:spacing w:before="120" w:after="120" w:line="276" w:lineRule="auto"/>
        <w:jc w:val="both"/>
        <w:rPr>
          <w:rFonts w:ascii="Noto Sans" w:hAnsi="Noto Sans" w:cs="Noto Sans"/>
          <w:sz w:val="20"/>
          <w:szCs w:val="20"/>
        </w:rPr>
      </w:pPr>
      <w:r>
        <w:rPr>
          <w:rFonts w:ascii="Noto Sans" w:hAnsi="Noto Sans" w:cs="Noto Sans"/>
          <w:sz w:val="20"/>
          <w:szCs w:val="20"/>
        </w:rPr>
        <w:t>Los Institutos Nacionales de Salud y los Hospitales Federales de Referencia envían la información a la CCINSHAE</w:t>
      </w:r>
    </w:p>
    <w:p w:rsidR="00D9706F" w:rsidRDefault="00D9706F" w:rsidP="006E0DC6">
      <w:pPr>
        <w:spacing w:before="120" w:after="120" w:line="276" w:lineRule="auto"/>
        <w:jc w:val="both"/>
        <w:rPr>
          <w:rFonts w:ascii="Noto Sans" w:hAnsi="Noto Sans" w:cs="Noto Sans"/>
          <w:sz w:val="20"/>
          <w:szCs w:val="20"/>
        </w:rPr>
      </w:pPr>
      <w:r>
        <w:rPr>
          <w:rFonts w:ascii="Noto Sans" w:hAnsi="Noto Sans" w:cs="Noto Sans"/>
          <w:sz w:val="20"/>
          <w:szCs w:val="20"/>
        </w:rPr>
        <w:t>Frecuencia de actualización:</w:t>
      </w:r>
    </w:p>
    <w:p w:rsidR="00D9706F" w:rsidRPr="009E77FF" w:rsidRDefault="00D9706F" w:rsidP="006E0DC6">
      <w:pPr>
        <w:spacing w:before="120" w:after="120" w:line="276" w:lineRule="auto"/>
        <w:jc w:val="both"/>
        <w:rPr>
          <w:rFonts w:ascii="Noto Sans" w:hAnsi="Noto Sans" w:cs="Noto Sans"/>
          <w:sz w:val="20"/>
          <w:szCs w:val="20"/>
        </w:rPr>
      </w:pPr>
      <w:r>
        <w:rPr>
          <w:rFonts w:ascii="Noto Sans" w:hAnsi="Noto Sans" w:cs="Noto Sans"/>
          <w:sz w:val="20"/>
          <w:szCs w:val="20"/>
        </w:rPr>
        <w:t>La información se reportará trimestralmente.</w:t>
      </w:r>
    </w:p>
    <w:p w:rsidR="006E0DC6" w:rsidRPr="009E77FF" w:rsidRDefault="006E0DC6" w:rsidP="006E0DC6">
      <w:pPr>
        <w:spacing w:before="120" w:after="120" w:line="276" w:lineRule="auto"/>
        <w:jc w:val="both"/>
        <w:rPr>
          <w:rFonts w:ascii="Noto Sans" w:hAnsi="Noto Sans" w:cs="Noto Sans"/>
          <w:sz w:val="20"/>
          <w:szCs w:val="20"/>
        </w:rPr>
      </w:pPr>
    </w:p>
    <w:p w:rsidR="00EE429C" w:rsidRPr="009E77FF" w:rsidRDefault="00EE429C" w:rsidP="005E6276">
      <w:pPr>
        <w:pStyle w:val="Prrafodelista"/>
        <w:numPr>
          <w:ilvl w:val="0"/>
          <w:numId w:val="1"/>
        </w:numPr>
        <w:spacing w:before="120" w:after="120" w:line="276" w:lineRule="auto"/>
        <w:jc w:val="both"/>
        <w:rPr>
          <w:rFonts w:ascii="Noto Sans" w:hAnsi="Noto Sans" w:cs="Noto Sans"/>
          <w:b/>
          <w:color w:val="1E5B4F"/>
          <w:sz w:val="22"/>
          <w:szCs w:val="22"/>
        </w:rPr>
        <w:sectPr w:rsidR="00EE429C" w:rsidRPr="009E77FF" w:rsidSect="00E443F5">
          <w:headerReference w:type="default" r:id="rId13"/>
          <w:footerReference w:type="default" r:id="rId14"/>
          <w:type w:val="continuous"/>
          <w:pgSz w:w="12240" w:h="15840"/>
          <w:pgMar w:top="2127" w:right="1701" w:bottom="1134" w:left="1701" w:header="708" w:footer="708" w:gutter="0"/>
          <w:cols w:space="708"/>
          <w:docGrid w:linePitch="360"/>
        </w:sectPr>
      </w:pPr>
    </w:p>
    <w:p w:rsidR="00B70D5C" w:rsidRPr="009E77FF" w:rsidRDefault="00B70D5C" w:rsidP="005E6276">
      <w:pPr>
        <w:pStyle w:val="Prrafodelista"/>
        <w:numPr>
          <w:ilvl w:val="0"/>
          <w:numId w:val="1"/>
        </w:numPr>
        <w:spacing w:before="120" w:after="120" w:line="276" w:lineRule="auto"/>
        <w:jc w:val="both"/>
        <w:rPr>
          <w:rFonts w:ascii="Noto Sans" w:hAnsi="Noto Sans" w:cs="Noto Sans"/>
          <w:sz w:val="20"/>
          <w:szCs w:val="20"/>
        </w:rPr>
      </w:pPr>
      <w:r w:rsidRPr="009E77FF">
        <w:rPr>
          <w:rFonts w:ascii="Noto Sans" w:hAnsi="Noto Sans" w:cs="Noto Sans"/>
          <w:b/>
          <w:color w:val="1E5B4F"/>
          <w:sz w:val="22"/>
          <w:szCs w:val="22"/>
        </w:rPr>
        <w:lastRenderedPageBreak/>
        <w:t>Árbol del problema</w:t>
      </w:r>
      <w:bookmarkEnd w:id="9"/>
    </w:p>
    <w:p w:rsidR="006551C3" w:rsidRPr="009E77FF" w:rsidRDefault="00AF2D8B" w:rsidP="009E38F7">
      <w:pPr>
        <w:spacing w:before="120" w:after="120" w:line="276" w:lineRule="auto"/>
        <w:ind w:firstLine="708"/>
        <w:jc w:val="both"/>
        <w:rPr>
          <w:rFonts w:ascii="Noto Sans" w:hAnsi="Noto Sans" w:cs="Noto Sans"/>
          <w:sz w:val="22"/>
          <w:szCs w:val="22"/>
        </w:rPr>
      </w:pPr>
      <w:r>
        <w:rPr>
          <w:rFonts w:ascii="Noto Sans" w:hAnsi="Noto Sans" w:cs="Noto Sans"/>
          <w:noProof/>
          <w:sz w:val="22"/>
          <w:szCs w:val="22"/>
          <w:lang w:val="en-US" w:eastAsia="en-US"/>
        </w:rPr>
        <w:drawing>
          <wp:inline distT="0" distB="0" distL="0" distR="0" wp14:anchorId="74FD2C83" wp14:editId="2FA1A06A">
            <wp:extent cx="7988300" cy="4521723"/>
            <wp:effectExtent l="0" t="0" r="0" b="0"/>
            <wp:docPr id="312743493" name="Imagen 31274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988300" cy="4521723"/>
                    </a:xfrm>
                    <a:prstGeom prst="rect">
                      <a:avLst/>
                    </a:prstGeom>
                    <a:noFill/>
                  </pic:spPr>
                </pic:pic>
              </a:graphicData>
            </a:graphic>
          </wp:inline>
        </w:drawing>
      </w:r>
    </w:p>
    <w:p w:rsidR="00333820" w:rsidRPr="009E77FF" w:rsidRDefault="00333820" w:rsidP="00CD4882">
      <w:pPr>
        <w:spacing w:before="120" w:after="120" w:line="276" w:lineRule="auto"/>
        <w:jc w:val="both"/>
        <w:rPr>
          <w:rFonts w:ascii="Noto Sans" w:hAnsi="Noto Sans" w:cs="Noto Sans"/>
          <w:sz w:val="22"/>
          <w:szCs w:val="22"/>
        </w:rPr>
      </w:pPr>
    </w:p>
    <w:p w:rsidR="00B70D5C" w:rsidRPr="009E77FF" w:rsidRDefault="00B70D5C" w:rsidP="005E6276">
      <w:pPr>
        <w:pStyle w:val="Ttulo1"/>
        <w:numPr>
          <w:ilvl w:val="0"/>
          <w:numId w:val="1"/>
        </w:numPr>
        <w:spacing w:before="120" w:after="120" w:line="276" w:lineRule="auto"/>
        <w:rPr>
          <w:rFonts w:ascii="Noto Sans" w:hAnsi="Noto Sans" w:cs="Noto Sans"/>
          <w:b/>
          <w:color w:val="1E5B4F"/>
          <w:sz w:val="22"/>
          <w:szCs w:val="22"/>
        </w:rPr>
      </w:pPr>
      <w:bookmarkStart w:id="10" w:name="_Toc201830227"/>
      <w:r w:rsidRPr="009E77FF">
        <w:rPr>
          <w:rFonts w:ascii="Noto Sans" w:hAnsi="Noto Sans" w:cs="Noto Sans"/>
          <w:b/>
          <w:color w:val="1E5B4F"/>
          <w:sz w:val="22"/>
          <w:szCs w:val="22"/>
        </w:rPr>
        <w:lastRenderedPageBreak/>
        <w:t>Árbol de objetivos</w:t>
      </w:r>
      <w:bookmarkEnd w:id="10"/>
    </w:p>
    <w:p w:rsidR="00240130" w:rsidRPr="009E77FF" w:rsidRDefault="00E71F38" w:rsidP="00CD4882">
      <w:pPr>
        <w:spacing w:before="120" w:after="120" w:line="276" w:lineRule="auto"/>
        <w:jc w:val="both"/>
        <w:rPr>
          <w:rFonts w:ascii="Noto Sans" w:hAnsi="Noto Sans" w:cs="Noto Sans"/>
          <w:sz w:val="22"/>
          <w:szCs w:val="22"/>
        </w:rPr>
      </w:pPr>
      <w:r>
        <w:rPr>
          <w:rFonts w:ascii="Noto Sans" w:hAnsi="Noto Sans" w:cs="Noto Sans"/>
          <w:noProof/>
          <w:sz w:val="22"/>
          <w:szCs w:val="22"/>
          <w:lang w:val="en-US" w:eastAsia="en-US"/>
        </w:rPr>
        <w:drawing>
          <wp:inline distT="0" distB="0" distL="0" distR="0" wp14:anchorId="45EA2C4A">
            <wp:extent cx="8606020" cy="4874607"/>
            <wp:effectExtent l="0" t="0" r="5080" b="2540"/>
            <wp:docPr id="312743494" name="Imagen 31274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636143" cy="4891669"/>
                    </a:xfrm>
                    <a:prstGeom prst="rect">
                      <a:avLst/>
                    </a:prstGeom>
                    <a:noFill/>
                  </pic:spPr>
                </pic:pic>
              </a:graphicData>
            </a:graphic>
          </wp:inline>
        </w:drawing>
      </w:r>
    </w:p>
    <w:p w:rsidR="00EE429C" w:rsidRPr="009E77FF" w:rsidRDefault="00EE429C" w:rsidP="00CD4882">
      <w:pPr>
        <w:spacing w:before="120" w:after="120" w:line="276" w:lineRule="auto"/>
        <w:jc w:val="both"/>
        <w:rPr>
          <w:rFonts w:ascii="Noto Sans" w:hAnsi="Noto Sans" w:cs="Noto Sans"/>
          <w:sz w:val="22"/>
          <w:szCs w:val="22"/>
        </w:rPr>
        <w:sectPr w:rsidR="00EE429C" w:rsidRPr="009E77FF" w:rsidSect="00EE429C">
          <w:headerReference w:type="default" r:id="rId17"/>
          <w:type w:val="continuous"/>
          <w:pgSz w:w="15840" w:h="12240" w:orient="landscape"/>
          <w:pgMar w:top="1701" w:right="2126" w:bottom="1701" w:left="1134" w:header="709" w:footer="709" w:gutter="0"/>
          <w:cols w:space="708"/>
          <w:docGrid w:linePitch="360"/>
        </w:sectPr>
      </w:pPr>
    </w:p>
    <w:p w:rsidR="0091587B" w:rsidRPr="009E77FF" w:rsidRDefault="0091587B" w:rsidP="005E6276">
      <w:pPr>
        <w:pStyle w:val="Ttulo1"/>
        <w:numPr>
          <w:ilvl w:val="1"/>
          <w:numId w:val="1"/>
        </w:numPr>
        <w:spacing w:before="120" w:after="120" w:line="276" w:lineRule="auto"/>
        <w:rPr>
          <w:rFonts w:ascii="Noto Sans" w:hAnsi="Noto Sans" w:cs="Noto Sans"/>
          <w:b/>
          <w:color w:val="1E5B4F"/>
          <w:sz w:val="22"/>
          <w:szCs w:val="22"/>
        </w:rPr>
      </w:pPr>
      <w:bookmarkStart w:id="11" w:name="_Toc201830228"/>
      <w:r w:rsidRPr="009E77FF">
        <w:rPr>
          <w:rFonts w:ascii="Noto Sans" w:hAnsi="Noto Sans" w:cs="Noto Sans"/>
          <w:b/>
          <w:color w:val="1E5B4F"/>
          <w:sz w:val="22"/>
          <w:szCs w:val="22"/>
        </w:rPr>
        <w:lastRenderedPageBreak/>
        <w:t>Análisis de afectaciones diferenciadas</w:t>
      </w:r>
      <w:bookmarkEnd w:id="11"/>
    </w:p>
    <w:tbl>
      <w:tblPr>
        <w:tblStyle w:val="Tablaconcuadrcula"/>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696"/>
        <w:gridCol w:w="7132"/>
      </w:tblGrid>
      <w:tr w:rsidR="0091587B" w:rsidRPr="009E77FF" w:rsidTr="006F7F21">
        <w:trPr>
          <w:trHeight w:val="529"/>
        </w:trPr>
        <w:tc>
          <w:tcPr>
            <w:tcW w:w="1696" w:type="dxa"/>
            <w:vMerge w:val="restart"/>
            <w:shd w:val="clear" w:color="auto" w:fill="595959" w:themeFill="text1" w:themeFillTint="A6"/>
            <w:vAlign w:val="center"/>
          </w:tcPr>
          <w:p w:rsidR="0091587B" w:rsidRPr="009E77FF" w:rsidRDefault="0091587B" w:rsidP="006F7F21">
            <w:pPr>
              <w:jc w:val="both"/>
              <w:rPr>
                <w:rFonts w:ascii="Noto Sans" w:hAnsi="Noto Sans" w:cs="Noto Sans"/>
                <w:b/>
                <w:bCs/>
                <w:color w:val="FFFFFF" w:themeColor="background1"/>
                <w:sz w:val="18"/>
                <w:szCs w:val="18"/>
              </w:rPr>
            </w:pPr>
            <w:r w:rsidRPr="009E77FF">
              <w:rPr>
                <w:rFonts w:ascii="Noto Sans" w:hAnsi="Noto Sans" w:cs="Noto Sans"/>
                <w:b/>
                <w:bCs/>
                <w:color w:val="FFFFFF" w:themeColor="background1"/>
                <w:sz w:val="18"/>
                <w:szCs w:val="18"/>
              </w:rPr>
              <w:t>Preguntas clave</w:t>
            </w:r>
          </w:p>
        </w:tc>
        <w:tc>
          <w:tcPr>
            <w:tcW w:w="7132" w:type="dxa"/>
            <w:shd w:val="clear" w:color="auto" w:fill="D9D9D9" w:themeFill="background1" w:themeFillShade="D9"/>
            <w:vAlign w:val="center"/>
          </w:tcPr>
          <w:p w:rsidR="0091587B" w:rsidRPr="009E77FF" w:rsidRDefault="0091587B" w:rsidP="006F7F21">
            <w:pPr>
              <w:jc w:val="both"/>
              <w:rPr>
                <w:rFonts w:ascii="Noto Sans" w:hAnsi="Noto Sans" w:cs="Noto Sans"/>
                <w:sz w:val="18"/>
                <w:szCs w:val="18"/>
              </w:rPr>
            </w:pPr>
            <w:r w:rsidRPr="009E77FF">
              <w:rPr>
                <w:rFonts w:ascii="Noto Sans" w:hAnsi="Noto Sans" w:cs="Noto Sans"/>
                <w:sz w:val="18"/>
                <w:szCs w:val="18"/>
              </w:rPr>
              <w:t>¿El problema o necesidad pública afecta de manera diferente a algún grupo de población, territorio o medio ambiente específico?</w:t>
            </w:r>
          </w:p>
          <w:p w:rsidR="006F7F21" w:rsidRPr="009E77FF" w:rsidRDefault="006F7F21" w:rsidP="00EE429C">
            <w:pPr>
              <w:jc w:val="both"/>
              <w:rPr>
                <w:rFonts w:ascii="Noto Sans" w:hAnsi="Noto Sans" w:cs="Noto Sans"/>
                <w:sz w:val="18"/>
                <w:szCs w:val="18"/>
              </w:rPr>
            </w:pPr>
            <w:r w:rsidRPr="009E77FF">
              <w:rPr>
                <w:rFonts w:ascii="Noto Sans" w:hAnsi="Noto Sans" w:cs="Noto Sans"/>
                <w:sz w:val="18"/>
                <w:szCs w:val="18"/>
              </w:rPr>
              <w:t>En el caso del programa presupuesta</w:t>
            </w:r>
            <w:r w:rsidR="00EE429C" w:rsidRPr="009E77FF">
              <w:rPr>
                <w:rFonts w:ascii="Noto Sans" w:hAnsi="Noto Sans" w:cs="Noto Sans"/>
                <w:sz w:val="18"/>
                <w:szCs w:val="18"/>
              </w:rPr>
              <w:t>rio</w:t>
            </w:r>
            <w:r w:rsidRPr="009E77FF">
              <w:rPr>
                <w:rFonts w:ascii="Noto Sans" w:hAnsi="Noto Sans" w:cs="Noto Sans"/>
                <w:sz w:val="18"/>
                <w:szCs w:val="18"/>
              </w:rPr>
              <w:t xml:space="preserve"> E031 este atiende a personas principalmente sin seguridad social. Dentro de eta población hay algunas que pueden ser vulnerables, como las poblaciones indígenas, afromexicanas, mujeres, mujeres embarazadas, niños, niñas, adolescentes, adultos mayores, personas con discapacidad, personas de la comunidad LGBTTTI+ y personas migrantes</w:t>
            </w:r>
          </w:p>
        </w:tc>
      </w:tr>
      <w:tr w:rsidR="0091587B" w:rsidRPr="009E77FF" w:rsidTr="006F7F21">
        <w:trPr>
          <w:trHeight w:val="551"/>
        </w:trPr>
        <w:tc>
          <w:tcPr>
            <w:tcW w:w="1696" w:type="dxa"/>
            <w:vMerge/>
            <w:shd w:val="clear" w:color="auto" w:fill="595959" w:themeFill="text1" w:themeFillTint="A6"/>
            <w:vAlign w:val="center"/>
          </w:tcPr>
          <w:p w:rsidR="0091587B" w:rsidRPr="009E77FF" w:rsidRDefault="0091587B" w:rsidP="006F7F21">
            <w:pPr>
              <w:jc w:val="both"/>
              <w:rPr>
                <w:rFonts w:ascii="Noto Sans" w:hAnsi="Noto Sans" w:cs="Noto Sans"/>
                <w:color w:val="FFFFFF" w:themeColor="background1"/>
                <w:sz w:val="18"/>
                <w:szCs w:val="18"/>
              </w:rPr>
            </w:pPr>
          </w:p>
        </w:tc>
        <w:tc>
          <w:tcPr>
            <w:tcW w:w="7132" w:type="dxa"/>
            <w:shd w:val="clear" w:color="auto" w:fill="D9D9D9" w:themeFill="background1" w:themeFillShade="D9"/>
            <w:vAlign w:val="center"/>
          </w:tcPr>
          <w:p w:rsidR="0091587B" w:rsidRPr="009E77FF" w:rsidRDefault="0091587B" w:rsidP="006F7F21">
            <w:pPr>
              <w:jc w:val="both"/>
              <w:rPr>
                <w:rFonts w:ascii="Noto Sans" w:hAnsi="Noto Sans" w:cs="Noto Sans"/>
                <w:sz w:val="18"/>
                <w:szCs w:val="18"/>
              </w:rPr>
            </w:pPr>
            <w:r w:rsidRPr="009E77FF">
              <w:rPr>
                <w:rFonts w:ascii="Noto Sans" w:hAnsi="Noto Sans" w:cs="Noto Sans"/>
                <w:sz w:val="18"/>
                <w:szCs w:val="18"/>
              </w:rPr>
              <w:t>¿Alguna población, territorio o recurso natural específico presenta mayores desventajas respecto a otras poblaciones, territorios o recursos naturales?</w:t>
            </w:r>
          </w:p>
          <w:p w:rsidR="006F7F21" w:rsidRPr="009E77FF" w:rsidRDefault="006F7F21" w:rsidP="006F7F21">
            <w:pPr>
              <w:jc w:val="both"/>
              <w:rPr>
                <w:rFonts w:ascii="Noto Sans" w:hAnsi="Noto Sans" w:cs="Noto Sans"/>
                <w:sz w:val="18"/>
                <w:szCs w:val="18"/>
              </w:rPr>
            </w:pPr>
            <w:r w:rsidRPr="009E77FF">
              <w:rPr>
                <w:rFonts w:ascii="Noto Sans" w:hAnsi="Noto Sans" w:cs="Noto Sans"/>
                <w:sz w:val="18"/>
                <w:szCs w:val="18"/>
              </w:rPr>
              <w:t>Las poblaciones indígenas, afromexicanas, mujeres, mujeres embarazadas, niños, niñas, adolescentes, adultos mayores, personas con discapacidad, personas de la comunidad LGBTTTI+ y personas migrantes. Estas personas sufren una deuda histórica</w:t>
            </w:r>
            <w:r w:rsidR="00CC4DF1" w:rsidRPr="009E77FF">
              <w:rPr>
                <w:rFonts w:ascii="Noto Sans" w:hAnsi="Noto Sans" w:cs="Noto Sans"/>
                <w:sz w:val="18"/>
                <w:szCs w:val="18"/>
              </w:rPr>
              <w:t xml:space="preserve"> en cuanto a la atención de las personas. </w:t>
            </w:r>
          </w:p>
          <w:p w:rsidR="00CC4DF1" w:rsidRPr="009E77FF" w:rsidRDefault="00CC4DF1" w:rsidP="006F7F21">
            <w:pPr>
              <w:jc w:val="both"/>
              <w:rPr>
                <w:rFonts w:ascii="Noto Sans" w:hAnsi="Noto Sans" w:cs="Noto Sans"/>
                <w:sz w:val="18"/>
                <w:szCs w:val="18"/>
              </w:rPr>
            </w:pPr>
            <w:r w:rsidRPr="009E77FF">
              <w:rPr>
                <w:rFonts w:ascii="Noto Sans" w:hAnsi="Noto Sans" w:cs="Noto Sans"/>
                <w:sz w:val="18"/>
                <w:szCs w:val="18"/>
              </w:rPr>
              <w:t>También es importante comentar que cada uno de estas poblaciones, tiene enfermedades que pueden presentarse más comúnmente por factores de riesgo que pueden tener.</w:t>
            </w:r>
          </w:p>
        </w:tc>
      </w:tr>
      <w:tr w:rsidR="0091587B" w:rsidRPr="009E77FF" w:rsidTr="006F7F21">
        <w:trPr>
          <w:trHeight w:val="558"/>
        </w:trPr>
        <w:tc>
          <w:tcPr>
            <w:tcW w:w="1696" w:type="dxa"/>
            <w:vMerge/>
            <w:shd w:val="clear" w:color="auto" w:fill="595959" w:themeFill="text1" w:themeFillTint="A6"/>
            <w:vAlign w:val="center"/>
          </w:tcPr>
          <w:p w:rsidR="0091587B" w:rsidRPr="009E77FF" w:rsidRDefault="0091587B" w:rsidP="006F7F21">
            <w:pPr>
              <w:jc w:val="both"/>
              <w:rPr>
                <w:rFonts w:ascii="Noto Sans" w:hAnsi="Noto Sans" w:cs="Noto Sans"/>
                <w:color w:val="FFFFFF" w:themeColor="background1"/>
                <w:sz w:val="18"/>
                <w:szCs w:val="18"/>
              </w:rPr>
            </w:pPr>
          </w:p>
        </w:tc>
        <w:tc>
          <w:tcPr>
            <w:tcW w:w="7132" w:type="dxa"/>
            <w:shd w:val="clear" w:color="auto" w:fill="D9D9D9" w:themeFill="background1" w:themeFillShade="D9"/>
            <w:vAlign w:val="center"/>
          </w:tcPr>
          <w:p w:rsidR="0091587B" w:rsidRPr="009E77FF" w:rsidRDefault="0091587B" w:rsidP="006F7F21">
            <w:pPr>
              <w:jc w:val="both"/>
              <w:rPr>
                <w:rFonts w:ascii="Noto Sans" w:hAnsi="Noto Sans" w:cs="Noto Sans"/>
                <w:sz w:val="18"/>
                <w:szCs w:val="18"/>
              </w:rPr>
            </w:pPr>
            <w:r w:rsidRPr="009E77FF">
              <w:rPr>
                <w:rFonts w:ascii="Noto Sans" w:hAnsi="Noto Sans" w:cs="Noto Sans"/>
                <w:sz w:val="18"/>
                <w:szCs w:val="18"/>
              </w:rPr>
              <w:t>¿Algún grupo de población, territorio o medio ambiente específico experimenta de manera diferente las causas que dan origen al problema público o sus efectos?</w:t>
            </w:r>
          </w:p>
          <w:p w:rsidR="00CC4DF1" w:rsidRPr="009E77FF" w:rsidRDefault="00CC4DF1" w:rsidP="006F7F21">
            <w:pPr>
              <w:jc w:val="both"/>
              <w:rPr>
                <w:rFonts w:ascii="Noto Sans" w:hAnsi="Noto Sans" w:cs="Noto Sans"/>
                <w:sz w:val="18"/>
                <w:szCs w:val="18"/>
              </w:rPr>
            </w:pPr>
            <w:r w:rsidRPr="009E77FF">
              <w:rPr>
                <w:rFonts w:ascii="Noto Sans" w:hAnsi="Noto Sans" w:cs="Noto Sans"/>
                <w:sz w:val="18"/>
                <w:szCs w:val="18"/>
              </w:rPr>
              <w:t>En el caso de los diferentes grupos de poblaciones, el como se acepta la enfermedad puede variar, esto debiéndose a factores psicológicos y culturales propios de cada una de las poblaciones.</w:t>
            </w:r>
          </w:p>
          <w:p w:rsidR="00CC4DF1" w:rsidRPr="009E77FF" w:rsidRDefault="00CC4DF1" w:rsidP="006F7F21">
            <w:pPr>
              <w:jc w:val="both"/>
              <w:rPr>
                <w:rFonts w:ascii="Noto Sans" w:hAnsi="Noto Sans" w:cs="Noto Sans"/>
                <w:sz w:val="18"/>
                <w:szCs w:val="18"/>
              </w:rPr>
            </w:pPr>
            <w:r w:rsidRPr="009E77FF">
              <w:rPr>
                <w:rFonts w:ascii="Noto Sans" w:hAnsi="Noto Sans" w:cs="Noto Sans"/>
                <w:sz w:val="18"/>
                <w:szCs w:val="18"/>
              </w:rPr>
              <w:t>Esto puede repercutir en el seguimiento, diagnóstico y tratamiento de las enfermedades.</w:t>
            </w:r>
          </w:p>
        </w:tc>
      </w:tr>
      <w:tr w:rsidR="0091587B" w:rsidRPr="009E77FF" w:rsidTr="006F7F21">
        <w:trPr>
          <w:trHeight w:val="555"/>
        </w:trPr>
        <w:tc>
          <w:tcPr>
            <w:tcW w:w="1696" w:type="dxa"/>
            <w:vMerge/>
            <w:shd w:val="clear" w:color="auto" w:fill="595959" w:themeFill="text1" w:themeFillTint="A6"/>
            <w:vAlign w:val="center"/>
          </w:tcPr>
          <w:p w:rsidR="0091587B" w:rsidRPr="009E77FF" w:rsidRDefault="0091587B" w:rsidP="006F7F21">
            <w:pPr>
              <w:jc w:val="both"/>
              <w:rPr>
                <w:rFonts w:ascii="Noto Sans" w:hAnsi="Noto Sans" w:cs="Noto Sans"/>
                <w:color w:val="FFFFFF" w:themeColor="background1"/>
                <w:sz w:val="18"/>
                <w:szCs w:val="18"/>
              </w:rPr>
            </w:pPr>
          </w:p>
        </w:tc>
        <w:tc>
          <w:tcPr>
            <w:tcW w:w="7132" w:type="dxa"/>
            <w:shd w:val="clear" w:color="auto" w:fill="D9D9D9" w:themeFill="background1" w:themeFillShade="D9"/>
            <w:vAlign w:val="center"/>
          </w:tcPr>
          <w:p w:rsidR="0091587B" w:rsidRPr="009E77FF" w:rsidRDefault="0091587B" w:rsidP="006F7F21">
            <w:pPr>
              <w:jc w:val="both"/>
              <w:rPr>
                <w:rFonts w:ascii="Noto Sans" w:hAnsi="Noto Sans" w:cs="Noto Sans"/>
                <w:sz w:val="18"/>
                <w:szCs w:val="18"/>
              </w:rPr>
            </w:pPr>
            <w:r w:rsidRPr="009E77FF">
              <w:rPr>
                <w:rFonts w:ascii="Noto Sans" w:hAnsi="Noto Sans" w:cs="Noto Sans"/>
                <w:sz w:val="18"/>
                <w:szCs w:val="18"/>
              </w:rPr>
              <w:t>¿El problema identificado tiene efectos negativos sobre el medio ambiente o se ve intensificado por condiciones medioambientales?</w:t>
            </w:r>
          </w:p>
          <w:p w:rsidR="00CC4DF1" w:rsidRPr="009E77FF" w:rsidRDefault="00CC4DF1" w:rsidP="006F7F21">
            <w:pPr>
              <w:jc w:val="both"/>
              <w:rPr>
                <w:rFonts w:ascii="Noto Sans" w:hAnsi="Noto Sans" w:cs="Noto Sans"/>
                <w:sz w:val="18"/>
                <w:szCs w:val="18"/>
              </w:rPr>
            </w:pPr>
            <w:r w:rsidRPr="009E77FF">
              <w:rPr>
                <w:rFonts w:ascii="Noto Sans" w:hAnsi="Noto Sans" w:cs="Noto Sans"/>
                <w:sz w:val="18"/>
                <w:szCs w:val="18"/>
              </w:rPr>
              <w:t>Las condiciones geográficas hacen que las enfermedades puedan tener una prevalencia más alta en ciertas zonas. Mientras que las enfermedades metabólicas como la diabetes e hipertensión son más freuentes en las poblaciones urbanas, en las zonas tropicales puede haber un aumento en enfermedades infctocontagiosas.</w:t>
            </w:r>
          </w:p>
        </w:tc>
      </w:tr>
      <w:tr w:rsidR="0091587B" w:rsidRPr="009E77FF" w:rsidTr="006F7F21">
        <w:trPr>
          <w:trHeight w:val="523"/>
        </w:trPr>
        <w:tc>
          <w:tcPr>
            <w:tcW w:w="1696" w:type="dxa"/>
            <w:vMerge/>
            <w:shd w:val="clear" w:color="auto" w:fill="595959" w:themeFill="text1" w:themeFillTint="A6"/>
            <w:vAlign w:val="center"/>
          </w:tcPr>
          <w:p w:rsidR="0091587B" w:rsidRPr="009E77FF" w:rsidRDefault="0091587B" w:rsidP="006F7F21">
            <w:pPr>
              <w:jc w:val="both"/>
              <w:rPr>
                <w:rFonts w:ascii="Noto Sans" w:hAnsi="Noto Sans" w:cs="Noto Sans"/>
                <w:color w:val="FFFFFF" w:themeColor="background1"/>
                <w:sz w:val="18"/>
                <w:szCs w:val="18"/>
              </w:rPr>
            </w:pPr>
          </w:p>
        </w:tc>
        <w:tc>
          <w:tcPr>
            <w:tcW w:w="7132" w:type="dxa"/>
            <w:shd w:val="clear" w:color="auto" w:fill="D9D9D9" w:themeFill="background1" w:themeFillShade="D9"/>
            <w:vAlign w:val="center"/>
          </w:tcPr>
          <w:p w:rsidR="0091587B" w:rsidRPr="009E77FF" w:rsidRDefault="0091587B" w:rsidP="006F7F21">
            <w:pPr>
              <w:jc w:val="both"/>
              <w:rPr>
                <w:rFonts w:ascii="Noto Sans" w:hAnsi="Noto Sans" w:cs="Noto Sans"/>
                <w:sz w:val="18"/>
                <w:szCs w:val="18"/>
              </w:rPr>
            </w:pPr>
            <w:r w:rsidRPr="009E77FF">
              <w:rPr>
                <w:rFonts w:ascii="Noto Sans" w:hAnsi="Noto Sans" w:cs="Noto Sans"/>
                <w:sz w:val="18"/>
                <w:szCs w:val="18"/>
              </w:rPr>
              <w:t>¿El Programa presupuestario realiza alguna actividad o provee algún bien o servicio que atienda a una población específica?</w:t>
            </w:r>
          </w:p>
          <w:p w:rsidR="00CC4DF1" w:rsidRPr="009E77FF" w:rsidRDefault="00CC4DF1" w:rsidP="006F7F21">
            <w:pPr>
              <w:jc w:val="both"/>
              <w:rPr>
                <w:rFonts w:ascii="Noto Sans" w:hAnsi="Noto Sans" w:cs="Noto Sans"/>
                <w:sz w:val="18"/>
                <w:szCs w:val="18"/>
              </w:rPr>
            </w:pPr>
            <w:r w:rsidRPr="009E77FF">
              <w:rPr>
                <w:rFonts w:ascii="Noto Sans" w:hAnsi="Noto Sans" w:cs="Noto Sans"/>
                <w:sz w:val="18"/>
                <w:szCs w:val="18"/>
              </w:rPr>
              <w:t>No</w:t>
            </w:r>
          </w:p>
        </w:tc>
      </w:tr>
      <w:tr w:rsidR="0091587B" w:rsidRPr="009E77FF" w:rsidTr="006F7F21">
        <w:trPr>
          <w:trHeight w:val="519"/>
        </w:trPr>
        <w:tc>
          <w:tcPr>
            <w:tcW w:w="1696" w:type="dxa"/>
            <w:vMerge/>
            <w:shd w:val="clear" w:color="auto" w:fill="595959" w:themeFill="text1" w:themeFillTint="A6"/>
            <w:vAlign w:val="center"/>
          </w:tcPr>
          <w:p w:rsidR="0091587B" w:rsidRPr="009E77FF" w:rsidRDefault="0091587B" w:rsidP="006F7F21">
            <w:pPr>
              <w:jc w:val="both"/>
              <w:rPr>
                <w:rFonts w:ascii="Noto Sans" w:hAnsi="Noto Sans" w:cs="Noto Sans"/>
                <w:color w:val="FFFFFF" w:themeColor="background1"/>
                <w:sz w:val="18"/>
                <w:szCs w:val="18"/>
              </w:rPr>
            </w:pPr>
          </w:p>
        </w:tc>
        <w:tc>
          <w:tcPr>
            <w:tcW w:w="7132" w:type="dxa"/>
            <w:shd w:val="clear" w:color="auto" w:fill="D9D9D9" w:themeFill="background1" w:themeFillShade="D9"/>
            <w:vAlign w:val="center"/>
          </w:tcPr>
          <w:p w:rsidR="0091587B" w:rsidRPr="009E77FF" w:rsidRDefault="0091587B" w:rsidP="006F7F21">
            <w:pPr>
              <w:jc w:val="both"/>
              <w:rPr>
                <w:rFonts w:ascii="Noto Sans" w:hAnsi="Noto Sans" w:cs="Noto Sans"/>
                <w:sz w:val="18"/>
                <w:szCs w:val="18"/>
              </w:rPr>
            </w:pPr>
            <w:r w:rsidRPr="009E77FF">
              <w:rPr>
                <w:rFonts w:ascii="Noto Sans" w:hAnsi="Noto Sans" w:cs="Noto Sans"/>
                <w:sz w:val="18"/>
                <w:szCs w:val="18"/>
              </w:rPr>
              <w:t>¿Cuál es el mecanismo de contribución del Pp para atender a dicha población?</w:t>
            </w:r>
          </w:p>
          <w:p w:rsidR="00CC4DF1" w:rsidRPr="009E77FF" w:rsidRDefault="00CC4DF1" w:rsidP="006F7F21">
            <w:pPr>
              <w:jc w:val="both"/>
              <w:rPr>
                <w:rFonts w:ascii="Noto Sans" w:hAnsi="Noto Sans" w:cs="Noto Sans"/>
                <w:sz w:val="18"/>
                <w:szCs w:val="18"/>
              </w:rPr>
            </w:pPr>
            <w:r w:rsidRPr="009E77FF">
              <w:rPr>
                <w:rFonts w:ascii="Noto Sans" w:hAnsi="Noto Sans" w:cs="Noto Sans"/>
                <w:sz w:val="18"/>
                <w:szCs w:val="18"/>
              </w:rPr>
              <w:t>Al ser la salud un derecho universal, se da atención a todas las poblaciones.</w:t>
            </w:r>
          </w:p>
        </w:tc>
      </w:tr>
      <w:tr w:rsidR="0091587B" w:rsidRPr="009E77FF" w:rsidTr="006F7F21">
        <w:trPr>
          <w:trHeight w:val="487"/>
        </w:trPr>
        <w:tc>
          <w:tcPr>
            <w:tcW w:w="1696" w:type="dxa"/>
            <w:vMerge/>
            <w:shd w:val="clear" w:color="auto" w:fill="595959" w:themeFill="text1" w:themeFillTint="A6"/>
            <w:vAlign w:val="center"/>
          </w:tcPr>
          <w:p w:rsidR="0091587B" w:rsidRPr="009E77FF" w:rsidRDefault="0091587B" w:rsidP="006F7F21">
            <w:pPr>
              <w:jc w:val="both"/>
              <w:rPr>
                <w:rFonts w:ascii="Noto Sans" w:hAnsi="Noto Sans" w:cs="Noto Sans"/>
                <w:color w:val="FFFFFF" w:themeColor="background1"/>
                <w:sz w:val="18"/>
                <w:szCs w:val="18"/>
              </w:rPr>
            </w:pPr>
          </w:p>
        </w:tc>
        <w:tc>
          <w:tcPr>
            <w:tcW w:w="7132" w:type="dxa"/>
            <w:shd w:val="clear" w:color="auto" w:fill="D9D9D9" w:themeFill="background1" w:themeFillShade="D9"/>
            <w:vAlign w:val="center"/>
          </w:tcPr>
          <w:p w:rsidR="0091587B" w:rsidRPr="009E77FF" w:rsidRDefault="0091587B" w:rsidP="006F7F21">
            <w:pPr>
              <w:jc w:val="both"/>
              <w:rPr>
                <w:rFonts w:ascii="Noto Sans" w:hAnsi="Noto Sans" w:cs="Noto Sans"/>
                <w:sz w:val="18"/>
                <w:szCs w:val="18"/>
              </w:rPr>
            </w:pPr>
            <w:r w:rsidRPr="009E77FF">
              <w:rPr>
                <w:rFonts w:ascii="Noto Sans" w:hAnsi="Noto Sans" w:cs="Noto Sans"/>
                <w:sz w:val="18"/>
                <w:szCs w:val="18"/>
              </w:rPr>
              <w:t>¿Actualmente se cuenta con algún(os) indicador(es) que mida(n) dicho mecanismo?</w:t>
            </w:r>
          </w:p>
          <w:p w:rsidR="00CC4DF1" w:rsidRPr="009E77FF" w:rsidRDefault="00CC4DF1" w:rsidP="006F7F21">
            <w:pPr>
              <w:jc w:val="both"/>
              <w:rPr>
                <w:rFonts w:ascii="Noto Sans" w:hAnsi="Noto Sans" w:cs="Noto Sans"/>
                <w:sz w:val="18"/>
                <w:szCs w:val="18"/>
              </w:rPr>
            </w:pPr>
            <w:r w:rsidRPr="009E77FF">
              <w:rPr>
                <w:rFonts w:ascii="Noto Sans" w:hAnsi="Noto Sans" w:cs="Noto Sans"/>
                <w:sz w:val="18"/>
                <w:szCs w:val="18"/>
              </w:rPr>
              <w:t>En particular no. En general se mide la atención médica que se brinda a todas las poblaciones.</w:t>
            </w:r>
          </w:p>
        </w:tc>
      </w:tr>
    </w:tbl>
    <w:p w:rsidR="0091587B" w:rsidRPr="009E77FF" w:rsidRDefault="0091587B" w:rsidP="0091587B">
      <w:pPr>
        <w:pStyle w:val="Prrafodelista"/>
        <w:ind w:left="360"/>
        <w:rPr>
          <w:rFonts w:ascii="Noto Sans" w:hAnsi="Noto Sans" w:cs="Noto Sans"/>
        </w:rPr>
      </w:pPr>
    </w:p>
    <w:tbl>
      <w:tblPr>
        <w:tblStyle w:val="Tablaconcuadrcula"/>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614"/>
        <w:gridCol w:w="6319"/>
        <w:gridCol w:w="895"/>
      </w:tblGrid>
      <w:tr w:rsidR="0091587B" w:rsidRPr="009E77FF" w:rsidTr="006F7F21">
        <w:trPr>
          <w:trHeight w:val="397"/>
          <w:tblHeader/>
        </w:trPr>
        <w:tc>
          <w:tcPr>
            <w:tcW w:w="8828" w:type="dxa"/>
            <w:gridSpan w:val="3"/>
            <w:shd w:val="clear" w:color="auto" w:fill="D4C19C"/>
            <w:vAlign w:val="center"/>
          </w:tcPr>
          <w:p w:rsidR="0091587B" w:rsidRPr="009E77FF" w:rsidRDefault="0091587B" w:rsidP="006F7F21">
            <w:pPr>
              <w:jc w:val="center"/>
              <w:rPr>
                <w:rFonts w:ascii="Noto Sans" w:hAnsi="Noto Sans" w:cs="Noto Sans"/>
                <w:b/>
                <w:bCs/>
                <w:noProof/>
                <w:sz w:val="18"/>
                <w:szCs w:val="18"/>
              </w:rPr>
            </w:pPr>
            <w:r w:rsidRPr="009E77FF">
              <w:rPr>
                <w:rFonts w:ascii="Noto Sans" w:hAnsi="Noto Sans" w:cs="Noto Sans"/>
                <w:b/>
                <w:bCs/>
                <w:sz w:val="18"/>
                <w:szCs w:val="18"/>
              </w:rPr>
              <w:t>Ejemplos de grupos de población, territorios o recursos naturales</w:t>
            </w:r>
          </w:p>
        </w:tc>
      </w:tr>
      <w:tr w:rsidR="0091587B" w:rsidRPr="009E77FF" w:rsidTr="006F7F21">
        <w:trPr>
          <w:trHeight w:val="227"/>
        </w:trPr>
        <w:tc>
          <w:tcPr>
            <w:tcW w:w="1614" w:type="dxa"/>
            <w:vMerge w:val="restart"/>
            <w:shd w:val="clear" w:color="auto" w:fill="D4C19C"/>
            <w:vAlign w:val="center"/>
          </w:tcPr>
          <w:p w:rsidR="0091587B" w:rsidRPr="009E77FF" w:rsidRDefault="0091587B" w:rsidP="006F7F21">
            <w:pPr>
              <w:jc w:val="center"/>
              <w:rPr>
                <w:rFonts w:ascii="Noto Sans" w:hAnsi="Noto Sans" w:cs="Noto Sans"/>
                <w:b/>
                <w:bCs/>
                <w:sz w:val="18"/>
                <w:szCs w:val="18"/>
              </w:rPr>
            </w:pPr>
            <w:r w:rsidRPr="009E77FF">
              <w:rPr>
                <w:rFonts w:ascii="Noto Sans" w:hAnsi="Noto Sans" w:cs="Noto Sans"/>
                <w:b/>
                <w:bCs/>
                <w:sz w:val="18"/>
                <w:szCs w:val="18"/>
              </w:rPr>
              <w:t>Grupos de población</w:t>
            </w:r>
          </w:p>
        </w:tc>
        <w:tc>
          <w:tcPr>
            <w:tcW w:w="6319" w:type="dxa"/>
            <w:shd w:val="clear" w:color="auto" w:fill="F6F2EA"/>
            <w:vAlign w:val="center"/>
          </w:tcPr>
          <w:p w:rsidR="0091587B" w:rsidRPr="009E77FF" w:rsidRDefault="0091587B" w:rsidP="006F7F21">
            <w:pPr>
              <w:rPr>
                <w:rFonts w:ascii="Noto Sans" w:hAnsi="Noto Sans" w:cs="Noto Sans"/>
                <w:sz w:val="18"/>
                <w:szCs w:val="18"/>
              </w:rPr>
            </w:pPr>
            <w:r w:rsidRPr="009E77FF">
              <w:rPr>
                <w:rFonts w:ascii="Noto Sans" w:hAnsi="Noto Sans" w:cs="Noto Sans"/>
                <w:sz w:val="18"/>
                <w:szCs w:val="18"/>
              </w:rPr>
              <w:t>Mujeres u objetivos en materia de igualdad de género</w:t>
            </w:r>
          </w:p>
        </w:tc>
        <w:tc>
          <w:tcPr>
            <w:tcW w:w="895" w:type="dxa"/>
            <w:shd w:val="clear" w:color="auto" w:fill="F6F2EA"/>
            <w:vAlign w:val="center"/>
          </w:tcPr>
          <w:p w:rsidR="0091587B" w:rsidRPr="009E77FF" w:rsidRDefault="00D206CE" w:rsidP="006F7F21">
            <w:pPr>
              <w:jc w:val="center"/>
              <w:rPr>
                <w:rFonts w:ascii="Noto Sans" w:hAnsi="Noto Sans" w:cs="Noto Sans"/>
                <w:sz w:val="18"/>
                <w:szCs w:val="18"/>
              </w:rPr>
            </w:pPr>
            <w:r w:rsidRPr="009E77FF">
              <w:rPr>
                <w:rFonts w:ascii="Noto Sans" w:hAnsi="Noto Sans" w:cs="Noto Sans"/>
                <w:noProof/>
                <w:sz w:val="18"/>
                <w:szCs w:val="18"/>
                <w:lang w:val="en-US" w:eastAsia="en-US"/>
              </w:rPr>
              <w:drawing>
                <wp:inline distT="0" distB="0" distL="0" distR="0" wp14:anchorId="55D62E8F" wp14:editId="14C515EB">
                  <wp:extent cx="252000" cy="252000"/>
                  <wp:effectExtent l="0" t="0" r="0" b="0"/>
                  <wp:docPr id="19"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8">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9"/>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227"/>
        </w:trPr>
        <w:tc>
          <w:tcPr>
            <w:tcW w:w="1614" w:type="dxa"/>
            <w:vMerge/>
            <w:shd w:val="clear" w:color="auto" w:fill="D4C19C"/>
            <w:vAlign w:val="center"/>
          </w:tcPr>
          <w:p w:rsidR="0091587B" w:rsidRPr="009E77FF" w:rsidRDefault="0091587B" w:rsidP="006F7F21">
            <w:pPr>
              <w:jc w:val="center"/>
              <w:rPr>
                <w:rFonts w:ascii="Noto Sans" w:hAnsi="Noto Sans" w:cs="Noto Sans"/>
                <w:b/>
                <w:bCs/>
                <w:sz w:val="18"/>
                <w:szCs w:val="18"/>
              </w:rPr>
            </w:pPr>
          </w:p>
        </w:tc>
        <w:tc>
          <w:tcPr>
            <w:tcW w:w="6319" w:type="dxa"/>
            <w:shd w:val="clear" w:color="auto" w:fill="F6F2EA"/>
            <w:vAlign w:val="center"/>
          </w:tcPr>
          <w:p w:rsidR="0091587B" w:rsidRPr="009E77FF" w:rsidRDefault="0091587B" w:rsidP="006F7F21">
            <w:pPr>
              <w:rPr>
                <w:rFonts w:ascii="Noto Sans" w:hAnsi="Noto Sans" w:cs="Noto Sans"/>
                <w:sz w:val="18"/>
                <w:szCs w:val="18"/>
              </w:rPr>
            </w:pPr>
            <w:r w:rsidRPr="009E77FF">
              <w:rPr>
                <w:rFonts w:ascii="Noto Sans" w:hAnsi="Noto Sans" w:cs="Noto Sans"/>
                <w:sz w:val="18"/>
                <w:szCs w:val="18"/>
              </w:rPr>
              <w:t>Comunidades indígenas y afromexicanas</w:t>
            </w:r>
          </w:p>
        </w:tc>
        <w:tc>
          <w:tcPr>
            <w:tcW w:w="895" w:type="dxa"/>
            <w:shd w:val="clear" w:color="auto" w:fill="F6F2EA"/>
            <w:vAlign w:val="center"/>
          </w:tcPr>
          <w:p w:rsidR="0091587B" w:rsidRPr="009E77FF" w:rsidRDefault="00D206CE" w:rsidP="006F7F21">
            <w:pPr>
              <w:jc w:val="center"/>
              <w:rPr>
                <w:rFonts w:ascii="Noto Sans" w:hAnsi="Noto Sans" w:cs="Noto Sans"/>
                <w:sz w:val="18"/>
                <w:szCs w:val="18"/>
              </w:rPr>
            </w:pPr>
            <w:r w:rsidRPr="009E77FF">
              <w:rPr>
                <w:rFonts w:ascii="Noto Sans" w:hAnsi="Noto Sans" w:cs="Noto Sans"/>
                <w:noProof/>
                <w:sz w:val="18"/>
                <w:szCs w:val="18"/>
                <w:lang w:val="en-US" w:eastAsia="en-US"/>
              </w:rPr>
              <w:drawing>
                <wp:inline distT="0" distB="0" distL="0" distR="0" wp14:anchorId="0010A913" wp14:editId="1A32DB21">
                  <wp:extent cx="252000" cy="252000"/>
                  <wp:effectExtent l="0" t="0" r="0" b="0"/>
                  <wp:docPr id="20" name="Gráfico 77" descr="Insignia de cruz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47206" name="Gráfico 561847206" descr="Insignia de cruz con relleno sólido"/>
                          <pic:cNvPicPr/>
                        </pic:nvPicPr>
                        <pic:blipFill>
                          <a:blip r:embed="rId20">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1"/>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227"/>
        </w:trPr>
        <w:tc>
          <w:tcPr>
            <w:tcW w:w="1614" w:type="dxa"/>
            <w:vMerge/>
            <w:shd w:val="clear" w:color="auto" w:fill="D4C19C"/>
            <w:vAlign w:val="center"/>
          </w:tcPr>
          <w:p w:rsidR="0091587B" w:rsidRPr="009E77FF" w:rsidRDefault="0091587B" w:rsidP="006F7F21">
            <w:pPr>
              <w:jc w:val="center"/>
              <w:rPr>
                <w:rFonts w:ascii="Noto Sans" w:hAnsi="Noto Sans" w:cs="Noto Sans"/>
                <w:b/>
                <w:bCs/>
                <w:sz w:val="18"/>
                <w:szCs w:val="18"/>
              </w:rPr>
            </w:pPr>
          </w:p>
        </w:tc>
        <w:tc>
          <w:tcPr>
            <w:tcW w:w="6319" w:type="dxa"/>
            <w:shd w:val="clear" w:color="auto" w:fill="F6F2EA"/>
            <w:vAlign w:val="center"/>
          </w:tcPr>
          <w:p w:rsidR="0091587B" w:rsidRPr="009E77FF" w:rsidRDefault="0091587B" w:rsidP="006F7F21">
            <w:pPr>
              <w:rPr>
                <w:rFonts w:ascii="Noto Sans" w:hAnsi="Noto Sans" w:cs="Noto Sans"/>
                <w:sz w:val="18"/>
                <w:szCs w:val="18"/>
              </w:rPr>
            </w:pPr>
            <w:r w:rsidRPr="009E77FF">
              <w:rPr>
                <w:rFonts w:ascii="Noto Sans" w:hAnsi="Noto Sans" w:cs="Noto Sans"/>
                <w:sz w:val="18"/>
                <w:szCs w:val="18"/>
              </w:rPr>
              <w:t>Personas adultas mayores</w:t>
            </w:r>
          </w:p>
        </w:tc>
        <w:tc>
          <w:tcPr>
            <w:tcW w:w="895" w:type="dxa"/>
            <w:shd w:val="clear" w:color="auto" w:fill="F6F2EA"/>
            <w:vAlign w:val="center"/>
          </w:tcPr>
          <w:p w:rsidR="0091587B" w:rsidRPr="009E77FF" w:rsidRDefault="0091587B" w:rsidP="006F7F21">
            <w:pPr>
              <w:jc w:val="center"/>
              <w:rPr>
                <w:rFonts w:ascii="Noto Sans" w:hAnsi="Noto Sans" w:cs="Noto Sans"/>
                <w:sz w:val="18"/>
                <w:szCs w:val="18"/>
              </w:rPr>
            </w:pPr>
            <w:r w:rsidRPr="009E77FF">
              <w:rPr>
                <w:rFonts w:ascii="Noto Sans" w:hAnsi="Noto Sans" w:cs="Noto Sans"/>
                <w:noProof/>
                <w:sz w:val="18"/>
                <w:szCs w:val="18"/>
                <w:lang w:val="en-US" w:eastAsia="en-US"/>
              </w:rPr>
              <w:drawing>
                <wp:inline distT="0" distB="0" distL="0" distR="0" wp14:anchorId="2BBC9D98" wp14:editId="7DF690F4">
                  <wp:extent cx="252000" cy="252000"/>
                  <wp:effectExtent l="0" t="0" r="0" b="0"/>
                  <wp:docPr id="1417825916"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8">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9"/>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227"/>
        </w:trPr>
        <w:tc>
          <w:tcPr>
            <w:tcW w:w="1614" w:type="dxa"/>
            <w:vMerge/>
            <w:shd w:val="clear" w:color="auto" w:fill="D4C19C"/>
            <w:vAlign w:val="center"/>
          </w:tcPr>
          <w:p w:rsidR="0091587B" w:rsidRPr="009E77FF" w:rsidRDefault="0091587B" w:rsidP="006F7F21">
            <w:pPr>
              <w:jc w:val="center"/>
              <w:rPr>
                <w:rFonts w:ascii="Noto Sans" w:hAnsi="Noto Sans" w:cs="Noto Sans"/>
                <w:b/>
                <w:bCs/>
                <w:sz w:val="18"/>
                <w:szCs w:val="18"/>
              </w:rPr>
            </w:pPr>
          </w:p>
        </w:tc>
        <w:tc>
          <w:tcPr>
            <w:tcW w:w="6319" w:type="dxa"/>
            <w:shd w:val="clear" w:color="auto" w:fill="F6F2EA"/>
            <w:vAlign w:val="center"/>
          </w:tcPr>
          <w:p w:rsidR="0091587B" w:rsidRPr="009E77FF" w:rsidRDefault="0091587B" w:rsidP="006F7F21">
            <w:pPr>
              <w:rPr>
                <w:rFonts w:ascii="Noto Sans" w:hAnsi="Noto Sans" w:cs="Noto Sans"/>
                <w:sz w:val="18"/>
                <w:szCs w:val="18"/>
              </w:rPr>
            </w:pPr>
            <w:r w:rsidRPr="009E77FF">
              <w:rPr>
                <w:rFonts w:ascii="Noto Sans" w:hAnsi="Noto Sans" w:cs="Noto Sans"/>
                <w:sz w:val="18"/>
                <w:szCs w:val="18"/>
              </w:rPr>
              <w:t>Personas con discapacidad</w:t>
            </w:r>
          </w:p>
        </w:tc>
        <w:tc>
          <w:tcPr>
            <w:tcW w:w="895" w:type="dxa"/>
            <w:shd w:val="clear" w:color="auto" w:fill="F6F2EA"/>
            <w:vAlign w:val="center"/>
          </w:tcPr>
          <w:p w:rsidR="0091587B" w:rsidRPr="009E77FF" w:rsidRDefault="006F7F21" w:rsidP="006F7F21">
            <w:pPr>
              <w:jc w:val="center"/>
              <w:rPr>
                <w:rFonts w:ascii="Noto Sans" w:hAnsi="Noto Sans" w:cs="Noto Sans"/>
                <w:sz w:val="18"/>
                <w:szCs w:val="18"/>
              </w:rPr>
            </w:pPr>
            <w:r w:rsidRPr="009E77FF">
              <w:rPr>
                <w:rFonts w:ascii="Noto Sans" w:hAnsi="Noto Sans" w:cs="Noto Sans"/>
                <w:noProof/>
                <w:sz w:val="18"/>
                <w:szCs w:val="18"/>
                <w:lang w:val="en-US" w:eastAsia="en-US"/>
              </w:rPr>
              <w:drawing>
                <wp:inline distT="0" distB="0" distL="0" distR="0" wp14:anchorId="17662E05" wp14:editId="460039B4">
                  <wp:extent cx="252000" cy="252000"/>
                  <wp:effectExtent l="0" t="0" r="0" b="0"/>
                  <wp:docPr id="2"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8">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9"/>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227"/>
        </w:trPr>
        <w:tc>
          <w:tcPr>
            <w:tcW w:w="1614" w:type="dxa"/>
            <w:vMerge/>
            <w:shd w:val="clear" w:color="auto" w:fill="D4C19C"/>
            <w:vAlign w:val="center"/>
          </w:tcPr>
          <w:p w:rsidR="0091587B" w:rsidRPr="009E77FF" w:rsidRDefault="0091587B" w:rsidP="006F7F21">
            <w:pPr>
              <w:jc w:val="center"/>
              <w:rPr>
                <w:rFonts w:ascii="Noto Sans" w:hAnsi="Noto Sans" w:cs="Noto Sans"/>
                <w:b/>
                <w:bCs/>
                <w:sz w:val="18"/>
                <w:szCs w:val="18"/>
              </w:rPr>
            </w:pPr>
          </w:p>
        </w:tc>
        <w:tc>
          <w:tcPr>
            <w:tcW w:w="6319" w:type="dxa"/>
            <w:shd w:val="clear" w:color="auto" w:fill="F6F2EA"/>
            <w:vAlign w:val="center"/>
          </w:tcPr>
          <w:p w:rsidR="0091587B" w:rsidRPr="009E77FF" w:rsidRDefault="0091587B" w:rsidP="006F7F21">
            <w:pPr>
              <w:rPr>
                <w:rFonts w:ascii="Noto Sans" w:hAnsi="Noto Sans" w:cs="Noto Sans"/>
                <w:sz w:val="18"/>
                <w:szCs w:val="18"/>
              </w:rPr>
            </w:pPr>
            <w:r w:rsidRPr="009E77FF">
              <w:rPr>
                <w:rFonts w:ascii="Noto Sans" w:hAnsi="Noto Sans" w:cs="Noto Sans"/>
                <w:sz w:val="18"/>
                <w:szCs w:val="18"/>
              </w:rPr>
              <w:t>Personas jóvenes</w:t>
            </w:r>
          </w:p>
        </w:tc>
        <w:tc>
          <w:tcPr>
            <w:tcW w:w="895" w:type="dxa"/>
            <w:shd w:val="clear" w:color="auto" w:fill="F6F2EA"/>
            <w:vAlign w:val="center"/>
          </w:tcPr>
          <w:p w:rsidR="0091587B" w:rsidRPr="009E77FF" w:rsidRDefault="0091587B" w:rsidP="006F7F21">
            <w:pPr>
              <w:jc w:val="center"/>
              <w:rPr>
                <w:rFonts w:ascii="Noto Sans" w:hAnsi="Noto Sans" w:cs="Noto Sans"/>
                <w:sz w:val="18"/>
                <w:szCs w:val="18"/>
              </w:rPr>
            </w:pPr>
            <w:r w:rsidRPr="009E77FF">
              <w:rPr>
                <w:rFonts w:ascii="Noto Sans" w:hAnsi="Noto Sans" w:cs="Noto Sans"/>
                <w:noProof/>
                <w:sz w:val="18"/>
                <w:szCs w:val="18"/>
                <w:lang w:val="en-US" w:eastAsia="en-US"/>
              </w:rPr>
              <w:drawing>
                <wp:inline distT="0" distB="0" distL="0" distR="0" wp14:anchorId="0E5D31EA" wp14:editId="2850A318">
                  <wp:extent cx="252000" cy="252000"/>
                  <wp:effectExtent l="0" t="0" r="0" b="0"/>
                  <wp:docPr id="1259479135"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8">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9"/>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227"/>
        </w:trPr>
        <w:tc>
          <w:tcPr>
            <w:tcW w:w="1614" w:type="dxa"/>
            <w:vMerge/>
            <w:shd w:val="clear" w:color="auto" w:fill="D4C19C"/>
            <w:vAlign w:val="center"/>
          </w:tcPr>
          <w:p w:rsidR="0091587B" w:rsidRPr="009E77FF" w:rsidRDefault="0091587B" w:rsidP="006F7F21">
            <w:pPr>
              <w:jc w:val="center"/>
              <w:rPr>
                <w:rFonts w:ascii="Noto Sans" w:hAnsi="Noto Sans" w:cs="Noto Sans"/>
                <w:b/>
                <w:bCs/>
                <w:sz w:val="18"/>
                <w:szCs w:val="18"/>
              </w:rPr>
            </w:pPr>
          </w:p>
        </w:tc>
        <w:tc>
          <w:tcPr>
            <w:tcW w:w="6319" w:type="dxa"/>
            <w:shd w:val="clear" w:color="auto" w:fill="F6F2EA"/>
            <w:vAlign w:val="center"/>
          </w:tcPr>
          <w:p w:rsidR="0091587B" w:rsidRPr="009E77FF" w:rsidRDefault="0091587B" w:rsidP="006F7F21">
            <w:pPr>
              <w:rPr>
                <w:rFonts w:ascii="Noto Sans" w:hAnsi="Noto Sans" w:cs="Noto Sans"/>
                <w:sz w:val="18"/>
                <w:szCs w:val="18"/>
              </w:rPr>
            </w:pPr>
            <w:r w:rsidRPr="009E77FF">
              <w:rPr>
                <w:rFonts w:ascii="Noto Sans" w:hAnsi="Noto Sans" w:cs="Noto Sans"/>
                <w:sz w:val="18"/>
                <w:szCs w:val="18"/>
              </w:rPr>
              <w:t>Niñas, niños y adolescentes</w:t>
            </w:r>
          </w:p>
        </w:tc>
        <w:tc>
          <w:tcPr>
            <w:tcW w:w="895" w:type="dxa"/>
            <w:shd w:val="clear" w:color="auto" w:fill="F6F2EA"/>
            <w:vAlign w:val="center"/>
          </w:tcPr>
          <w:p w:rsidR="0091587B" w:rsidRPr="009E77FF" w:rsidRDefault="006F7F21" w:rsidP="006F7F21">
            <w:pPr>
              <w:jc w:val="center"/>
              <w:rPr>
                <w:rFonts w:ascii="Noto Sans" w:hAnsi="Noto Sans" w:cs="Noto Sans"/>
                <w:sz w:val="18"/>
                <w:szCs w:val="18"/>
              </w:rPr>
            </w:pPr>
            <w:r w:rsidRPr="009E77FF">
              <w:rPr>
                <w:rFonts w:ascii="Noto Sans" w:hAnsi="Noto Sans" w:cs="Noto Sans"/>
                <w:noProof/>
                <w:sz w:val="18"/>
                <w:szCs w:val="18"/>
                <w:lang w:val="en-US" w:eastAsia="en-US"/>
              </w:rPr>
              <w:drawing>
                <wp:inline distT="0" distB="0" distL="0" distR="0" wp14:anchorId="6E63200A" wp14:editId="6BD111AC">
                  <wp:extent cx="252000" cy="252000"/>
                  <wp:effectExtent l="0" t="0" r="0" b="0"/>
                  <wp:docPr id="3"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8">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9"/>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227"/>
        </w:trPr>
        <w:tc>
          <w:tcPr>
            <w:tcW w:w="1614" w:type="dxa"/>
            <w:vMerge/>
            <w:shd w:val="clear" w:color="auto" w:fill="D4C19C"/>
            <w:vAlign w:val="center"/>
          </w:tcPr>
          <w:p w:rsidR="0091587B" w:rsidRPr="009E77FF" w:rsidRDefault="0091587B" w:rsidP="006F7F21">
            <w:pPr>
              <w:jc w:val="center"/>
              <w:rPr>
                <w:rFonts w:ascii="Noto Sans" w:hAnsi="Noto Sans" w:cs="Noto Sans"/>
                <w:b/>
                <w:bCs/>
                <w:sz w:val="18"/>
                <w:szCs w:val="18"/>
              </w:rPr>
            </w:pPr>
          </w:p>
        </w:tc>
        <w:tc>
          <w:tcPr>
            <w:tcW w:w="6319" w:type="dxa"/>
            <w:shd w:val="clear" w:color="auto" w:fill="F6F2EA"/>
            <w:vAlign w:val="center"/>
          </w:tcPr>
          <w:p w:rsidR="0091587B" w:rsidRPr="009E77FF" w:rsidRDefault="0091587B" w:rsidP="006F7F21">
            <w:pPr>
              <w:rPr>
                <w:rFonts w:ascii="Noto Sans" w:hAnsi="Noto Sans" w:cs="Noto Sans"/>
                <w:sz w:val="18"/>
                <w:szCs w:val="18"/>
              </w:rPr>
            </w:pPr>
            <w:r w:rsidRPr="009E77FF">
              <w:rPr>
                <w:rFonts w:ascii="Noto Sans" w:hAnsi="Noto Sans" w:cs="Noto Sans"/>
                <w:sz w:val="18"/>
                <w:szCs w:val="18"/>
              </w:rPr>
              <w:t>Personas migrantes y/o en tránsito</w:t>
            </w:r>
          </w:p>
        </w:tc>
        <w:tc>
          <w:tcPr>
            <w:tcW w:w="895" w:type="dxa"/>
            <w:shd w:val="clear" w:color="auto" w:fill="F6F2EA"/>
            <w:vAlign w:val="center"/>
          </w:tcPr>
          <w:p w:rsidR="0091587B" w:rsidRPr="009E77FF" w:rsidRDefault="00D206CE" w:rsidP="006F7F21">
            <w:pPr>
              <w:jc w:val="center"/>
              <w:rPr>
                <w:rFonts w:ascii="Noto Sans" w:hAnsi="Noto Sans" w:cs="Noto Sans"/>
                <w:sz w:val="18"/>
                <w:szCs w:val="18"/>
              </w:rPr>
            </w:pPr>
            <w:r w:rsidRPr="009E77FF">
              <w:rPr>
                <w:rFonts w:ascii="Noto Sans" w:hAnsi="Noto Sans" w:cs="Noto Sans"/>
                <w:noProof/>
                <w:sz w:val="18"/>
                <w:szCs w:val="18"/>
                <w:lang w:val="en-US" w:eastAsia="en-US"/>
              </w:rPr>
              <w:drawing>
                <wp:inline distT="0" distB="0" distL="0" distR="0" wp14:anchorId="53541CCC" wp14:editId="5CE1ACB4">
                  <wp:extent cx="252000" cy="252000"/>
                  <wp:effectExtent l="0" t="0" r="0" b="0"/>
                  <wp:docPr id="21" name="Gráfico 77" descr="Insignia de cruz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47206" name="Gráfico 561847206" descr="Insignia de cruz con relleno sólido"/>
                          <pic:cNvPicPr/>
                        </pic:nvPicPr>
                        <pic:blipFill>
                          <a:blip r:embed="rId20">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1"/>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227"/>
        </w:trPr>
        <w:tc>
          <w:tcPr>
            <w:tcW w:w="1614" w:type="dxa"/>
            <w:vMerge/>
            <w:shd w:val="clear" w:color="auto" w:fill="D4C19C"/>
            <w:vAlign w:val="center"/>
          </w:tcPr>
          <w:p w:rsidR="0091587B" w:rsidRPr="009E77FF" w:rsidRDefault="0091587B" w:rsidP="006F7F21">
            <w:pPr>
              <w:jc w:val="center"/>
              <w:rPr>
                <w:rFonts w:ascii="Noto Sans" w:hAnsi="Noto Sans" w:cs="Noto Sans"/>
                <w:b/>
                <w:bCs/>
                <w:sz w:val="18"/>
                <w:szCs w:val="18"/>
              </w:rPr>
            </w:pPr>
          </w:p>
        </w:tc>
        <w:tc>
          <w:tcPr>
            <w:tcW w:w="6319" w:type="dxa"/>
            <w:shd w:val="clear" w:color="auto" w:fill="F6F2EA"/>
            <w:vAlign w:val="center"/>
          </w:tcPr>
          <w:p w:rsidR="0091587B" w:rsidRPr="009E77FF" w:rsidRDefault="0091587B" w:rsidP="006F7F21">
            <w:pPr>
              <w:rPr>
                <w:rFonts w:ascii="Noto Sans" w:hAnsi="Noto Sans" w:cs="Noto Sans"/>
                <w:sz w:val="18"/>
                <w:szCs w:val="18"/>
              </w:rPr>
            </w:pPr>
            <w:r w:rsidRPr="009E77FF">
              <w:rPr>
                <w:rFonts w:ascii="Noto Sans" w:hAnsi="Noto Sans" w:cs="Noto Sans"/>
                <w:sz w:val="18"/>
                <w:szCs w:val="18"/>
              </w:rPr>
              <w:t>Otros grupos de población vulnerables</w:t>
            </w:r>
          </w:p>
        </w:tc>
        <w:tc>
          <w:tcPr>
            <w:tcW w:w="895" w:type="dxa"/>
            <w:shd w:val="clear" w:color="auto" w:fill="F6F2EA"/>
            <w:vAlign w:val="center"/>
          </w:tcPr>
          <w:p w:rsidR="0091587B" w:rsidRPr="009E77FF" w:rsidRDefault="006F7F21" w:rsidP="006F7F21">
            <w:pPr>
              <w:jc w:val="center"/>
              <w:rPr>
                <w:rFonts w:ascii="Noto Sans" w:hAnsi="Noto Sans" w:cs="Noto Sans"/>
                <w:sz w:val="18"/>
                <w:szCs w:val="18"/>
              </w:rPr>
            </w:pPr>
            <w:r w:rsidRPr="009E77FF">
              <w:rPr>
                <w:rFonts w:ascii="Noto Sans" w:hAnsi="Noto Sans" w:cs="Noto Sans"/>
                <w:noProof/>
                <w:sz w:val="18"/>
                <w:szCs w:val="18"/>
                <w:lang w:val="en-US" w:eastAsia="en-US"/>
              </w:rPr>
              <w:drawing>
                <wp:inline distT="0" distB="0" distL="0" distR="0" wp14:anchorId="4BC5D533" wp14:editId="7F90D014">
                  <wp:extent cx="252000" cy="252000"/>
                  <wp:effectExtent l="0" t="0" r="0" b="0"/>
                  <wp:docPr id="4"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8">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9"/>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227"/>
        </w:trPr>
        <w:tc>
          <w:tcPr>
            <w:tcW w:w="1614" w:type="dxa"/>
            <w:vMerge w:val="restart"/>
            <w:shd w:val="clear" w:color="auto" w:fill="D4C19C"/>
            <w:vAlign w:val="center"/>
          </w:tcPr>
          <w:p w:rsidR="0091587B" w:rsidRPr="009E77FF" w:rsidRDefault="0091587B" w:rsidP="006F7F21">
            <w:pPr>
              <w:jc w:val="center"/>
              <w:rPr>
                <w:rFonts w:ascii="Noto Sans" w:hAnsi="Noto Sans" w:cs="Noto Sans"/>
                <w:b/>
                <w:bCs/>
                <w:sz w:val="18"/>
                <w:szCs w:val="18"/>
              </w:rPr>
            </w:pPr>
            <w:r w:rsidRPr="009E77FF">
              <w:rPr>
                <w:rFonts w:ascii="Noto Sans" w:hAnsi="Noto Sans" w:cs="Noto Sans"/>
                <w:b/>
                <w:bCs/>
                <w:sz w:val="18"/>
                <w:szCs w:val="18"/>
              </w:rPr>
              <w:t>Medio ambiente y territorio</w:t>
            </w:r>
          </w:p>
        </w:tc>
        <w:tc>
          <w:tcPr>
            <w:tcW w:w="6319" w:type="dxa"/>
            <w:shd w:val="clear" w:color="auto" w:fill="F2F2F2" w:themeFill="background1" w:themeFillShade="F2"/>
            <w:vAlign w:val="center"/>
          </w:tcPr>
          <w:p w:rsidR="0091587B" w:rsidRPr="009E77FF" w:rsidRDefault="0091587B" w:rsidP="006F7F21">
            <w:pPr>
              <w:rPr>
                <w:rFonts w:ascii="Noto Sans" w:hAnsi="Noto Sans" w:cs="Noto Sans"/>
                <w:sz w:val="18"/>
                <w:szCs w:val="18"/>
              </w:rPr>
            </w:pPr>
            <w:r w:rsidRPr="009E77FF">
              <w:rPr>
                <w:rFonts w:ascii="Noto Sans" w:hAnsi="Noto Sans" w:cs="Noto Sans"/>
                <w:sz w:val="18"/>
                <w:szCs w:val="18"/>
              </w:rPr>
              <w:t>Regiones del país</w:t>
            </w:r>
          </w:p>
        </w:tc>
        <w:tc>
          <w:tcPr>
            <w:tcW w:w="895" w:type="dxa"/>
            <w:shd w:val="clear" w:color="auto" w:fill="F2F2F2" w:themeFill="background1" w:themeFillShade="F2"/>
            <w:vAlign w:val="center"/>
          </w:tcPr>
          <w:p w:rsidR="0091587B" w:rsidRPr="009E77FF" w:rsidRDefault="00D206CE" w:rsidP="006F7F21">
            <w:pPr>
              <w:jc w:val="center"/>
              <w:rPr>
                <w:rFonts w:ascii="Noto Sans" w:hAnsi="Noto Sans" w:cs="Noto Sans"/>
                <w:sz w:val="18"/>
                <w:szCs w:val="18"/>
              </w:rPr>
            </w:pPr>
            <w:r w:rsidRPr="009E77FF">
              <w:rPr>
                <w:rFonts w:ascii="Noto Sans" w:hAnsi="Noto Sans" w:cs="Noto Sans"/>
                <w:noProof/>
                <w:sz w:val="18"/>
                <w:szCs w:val="18"/>
                <w:lang w:val="en-US" w:eastAsia="en-US"/>
              </w:rPr>
              <w:drawing>
                <wp:inline distT="0" distB="0" distL="0" distR="0" wp14:anchorId="349AD1DE" wp14:editId="3271F71C">
                  <wp:extent cx="252000" cy="252000"/>
                  <wp:effectExtent l="0" t="0" r="0" b="0"/>
                  <wp:docPr id="14" name="Gráfico 77" descr="Insignia de cruz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47206" name="Gráfico 561847206" descr="Insignia de cruz con relleno sólido"/>
                          <pic:cNvPicPr/>
                        </pic:nvPicPr>
                        <pic:blipFill>
                          <a:blip r:embed="rId20">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1"/>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227"/>
        </w:trPr>
        <w:tc>
          <w:tcPr>
            <w:tcW w:w="1614" w:type="dxa"/>
            <w:vMerge/>
            <w:shd w:val="clear" w:color="auto" w:fill="D4C19C"/>
            <w:vAlign w:val="center"/>
          </w:tcPr>
          <w:p w:rsidR="0091587B" w:rsidRPr="009E77FF" w:rsidRDefault="0091587B" w:rsidP="006F7F21">
            <w:pPr>
              <w:jc w:val="center"/>
              <w:rPr>
                <w:rFonts w:ascii="Noto Sans" w:hAnsi="Noto Sans" w:cs="Noto Sans"/>
                <w:b/>
                <w:bCs/>
                <w:sz w:val="18"/>
                <w:szCs w:val="18"/>
              </w:rPr>
            </w:pPr>
          </w:p>
        </w:tc>
        <w:tc>
          <w:tcPr>
            <w:tcW w:w="6319" w:type="dxa"/>
            <w:shd w:val="clear" w:color="auto" w:fill="F2F2F2" w:themeFill="background1" w:themeFillShade="F2"/>
            <w:vAlign w:val="center"/>
          </w:tcPr>
          <w:p w:rsidR="0091587B" w:rsidRPr="009E77FF" w:rsidRDefault="0091587B" w:rsidP="006F7F21">
            <w:pPr>
              <w:rPr>
                <w:rFonts w:ascii="Noto Sans" w:hAnsi="Noto Sans" w:cs="Noto Sans"/>
                <w:sz w:val="18"/>
                <w:szCs w:val="18"/>
              </w:rPr>
            </w:pPr>
            <w:r w:rsidRPr="009E77FF">
              <w:rPr>
                <w:rFonts w:ascii="Noto Sans" w:hAnsi="Noto Sans" w:cs="Noto Sans"/>
                <w:sz w:val="18"/>
                <w:szCs w:val="18"/>
              </w:rPr>
              <w:t>Contexto urbano o rural</w:t>
            </w:r>
          </w:p>
        </w:tc>
        <w:tc>
          <w:tcPr>
            <w:tcW w:w="895" w:type="dxa"/>
            <w:shd w:val="clear" w:color="auto" w:fill="F2F2F2" w:themeFill="background1" w:themeFillShade="F2"/>
            <w:vAlign w:val="center"/>
          </w:tcPr>
          <w:p w:rsidR="0091587B" w:rsidRPr="009E77FF" w:rsidRDefault="00D206CE" w:rsidP="006F7F21">
            <w:pPr>
              <w:jc w:val="center"/>
              <w:rPr>
                <w:rFonts w:ascii="Noto Sans" w:hAnsi="Noto Sans" w:cs="Noto Sans"/>
                <w:sz w:val="18"/>
                <w:szCs w:val="18"/>
              </w:rPr>
            </w:pPr>
            <w:r w:rsidRPr="009E77FF">
              <w:rPr>
                <w:rFonts w:ascii="Noto Sans" w:hAnsi="Noto Sans" w:cs="Noto Sans"/>
                <w:noProof/>
                <w:sz w:val="18"/>
                <w:szCs w:val="18"/>
                <w:lang w:val="en-US" w:eastAsia="en-US"/>
              </w:rPr>
              <w:drawing>
                <wp:inline distT="0" distB="0" distL="0" distR="0" wp14:anchorId="3DC8D5C8" wp14:editId="5CBE31D8">
                  <wp:extent cx="252000" cy="252000"/>
                  <wp:effectExtent l="0" t="0" r="0" b="0"/>
                  <wp:docPr id="15" name="Gráfico 77" descr="Insignia de cruz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47206" name="Gráfico 561847206" descr="Insignia de cruz con relleno sólido"/>
                          <pic:cNvPicPr/>
                        </pic:nvPicPr>
                        <pic:blipFill>
                          <a:blip r:embed="rId20">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1"/>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227"/>
        </w:trPr>
        <w:tc>
          <w:tcPr>
            <w:tcW w:w="1614" w:type="dxa"/>
            <w:vMerge/>
            <w:shd w:val="clear" w:color="auto" w:fill="D4C19C"/>
            <w:vAlign w:val="center"/>
          </w:tcPr>
          <w:p w:rsidR="0091587B" w:rsidRPr="009E77FF" w:rsidRDefault="0091587B" w:rsidP="006F7F21">
            <w:pPr>
              <w:jc w:val="center"/>
              <w:rPr>
                <w:rFonts w:ascii="Noto Sans" w:hAnsi="Noto Sans" w:cs="Noto Sans"/>
                <w:b/>
                <w:bCs/>
                <w:sz w:val="18"/>
                <w:szCs w:val="18"/>
              </w:rPr>
            </w:pPr>
          </w:p>
        </w:tc>
        <w:tc>
          <w:tcPr>
            <w:tcW w:w="6319" w:type="dxa"/>
            <w:shd w:val="clear" w:color="auto" w:fill="F2F2F2" w:themeFill="background1" w:themeFillShade="F2"/>
            <w:vAlign w:val="center"/>
          </w:tcPr>
          <w:p w:rsidR="0091587B" w:rsidRPr="009E77FF" w:rsidRDefault="0091587B" w:rsidP="006F7F21">
            <w:pPr>
              <w:rPr>
                <w:rFonts w:ascii="Noto Sans" w:hAnsi="Noto Sans" w:cs="Noto Sans"/>
                <w:sz w:val="18"/>
                <w:szCs w:val="18"/>
              </w:rPr>
            </w:pPr>
            <w:r w:rsidRPr="009E77FF">
              <w:rPr>
                <w:rFonts w:ascii="Noto Sans" w:hAnsi="Noto Sans" w:cs="Noto Sans"/>
                <w:sz w:val="18"/>
                <w:szCs w:val="18"/>
              </w:rPr>
              <w:t>Recursos o patrimonio natural</w:t>
            </w:r>
          </w:p>
        </w:tc>
        <w:tc>
          <w:tcPr>
            <w:tcW w:w="895" w:type="dxa"/>
            <w:shd w:val="clear" w:color="auto" w:fill="F2F2F2" w:themeFill="background1" w:themeFillShade="F2"/>
            <w:vAlign w:val="center"/>
          </w:tcPr>
          <w:p w:rsidR="0091587B" w:rsidRPr="009E77FF" w:rsidRDefault="00B94F3B" w:rsidP="006F7F21">
            <w:pPr>
              <w:jc w:val="center"/>
              <w:rPr>
                <w:rFonts w:ascii="Noto Sans" w:hAnsi="Noto Sans" w:cs="Noto Sans"/>
                <w:sz w:val="18"/>
                <w:szCs w:val="18"/>
              </w:rPr>
            </w:pPr>
            <w:r w:rsidRPr="009E77FF">
              <w:rPr>
                <w:rFonts w:ascii="Noto Sans" w:hAnsi="Noto Sans" w:cs="Noto Sans"/>
                <w:noProof/>
                <w:sz w:val="18"/>
                <w:szCs w:val="18"/>
                <w:lang w:val="en-US" w:eastAsia="en-US"/>
              </w:rPr>
              <w:drawing>
                <wp:inline distT="0" distB="0" distL="0" distR="0" wp14:anchorId="0BCA111C" wp14:editId="61FF0AEE">
                  <wp:extent cx="252000" cy="252000"/>
                  <wp:effectExtent l="0" t="0" r="0" b="0"/>
                  <wp:docPr id="6" name="Gráfico 77" descr="Insignia de cruz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47206" name="Gráfico 561847206" descr="Insignia de cruz con relleno sólido"/>
                          <pic:cNvPicPr/>
                        </pic:nvPicPr>
                        <pic:blipFill>
                          <a:blip r:embed="rId20">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1"/>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227"/>
        </w:trPr>
        <w:tc>
          <w:tcPr>
            <w:tcW w:w="1614" w:type="dxa"/>
            <w:vMerge/>
            <w:shd w:val="clear" w:color="auto" w:fill="D4C19C"/>
            <w:vAlign w:val="center"/>
          </w:tcPr>
          <w:p w:rsidR="0091587B" w:rsidRPr="009E77FF" w:rsidRDefault="0091587B" w:rsidP="006F7F21">
            <w:pPr>
              <w:jc w:val="center"/>
              <w:rPr>
                <w:rFonts w:ascii="Noto Sans" w:hAnsi="Noto Sans" w:cs="Noto Sans"/>
                <w:b/>
                <w:bCs/>
                <w:sz w:val="18"/>
                <w:szCs w:val="18"/>
              </w:rPr>
            </w:pPr>
          </w:p>
        </w:tc>
        <w:tc>
          <w:tcPr>
            <w:tcW w:w="6319" w:type="dxa"/>
            <w:shd w:val="clear" w:color="auto" w:fill="F2F2F2" w:themeFill="background1" w:themeFillShade="F2"/>
            <w:vAlign w:val="center"/>
          </w:tcPr>
          <w:p w:rsidR="0091587B" w:rsidRPr="009E77FF" w:rsidRDefault="0091587B" w:rsidP="006F7F21">
            <w:pPr>
              <w:rPr>
                <w:rFonts w:ascii="Noto Sans" w:hAnsi="Noto Sans" w:cs="Noto Sans"/>
                <w:sz w:val="18"/>
                <w:szCs w:val="18"/>
              </w:rPr>
            </w:pPr>
            <w:r w:rsidRPr="009E77FF">
              <w:rPr>
                <w:rFonts w:ascii="Noto Sans" w:hAnsi="Noto Sans" w:cs="Noto Sans"/>
                <w:sz w:val="18"/>
                <w:szCs w:val="18"/>
              </w:rPr>
              <w:t>Cambio climático</w:t>
            </w:r>
          </w:p>
        </w:tc>
        <w:tc>
          <w:tcPr>
            <w:tcW w:w="895" w:type="dxa"/>
            <w:shd w:val="clear" w:color="auto" w:fill="F2F2F2" w:themeFill="background1" w:themeFillShade="F2"/>
            <w:vAlign w:val="center"/>
          </w:tcPr>
          <w:p w:rsidR="0091587B" w:rsidRPr="009E77FF" w:rsidRDefault="0091587B" w:rsidP="006F7F21">
            <w:pPr>
              <w:jc w:val="center"/>
              <w:rPr>
                <w:rFonts w:ascii="Noto Sans" w:hAnsi="Noto Sans" w:cs="Noto Sans"/>
                <w:sz w:val="18"/>
                <w:szCs w:val="18"/>
              </w:rPr>
            </w:pPr>
            <w:r w:rsidRPr="009E77FF">
              <w:rPr>
                <w:rFonts w:ascii="Noto Sans" w:hAnsi="Noto Sans" w:cs="Noto Sans"/>
                <w:noProof/>
                <w:sz w:val="18"/>
                <w:szCs w:val="18"/>
                <w:lang w:val="en-US" w:eastAsia="en-US"/>
              </w:rPr>
              <w:drawing>
                <wp:inline distT="0" distB="0" distL="0" distR="0" wp14:anchorId="338CCCD9" wp14:editId="3B9B773A">
                  <wp:extent cx="252000" cy="252000"/>
                  <wp:effectExtent l="0" t="0" r="0" b="0"/>
                  <wp:docPr id="312743504" name="Gráfico 77" descr="Insignia de cruz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47206" name="Gráfico 561847206" descr="Insignia de cruz con relleno sólido"/>
                          <pic:cNvPicPr/>
                        </pic:nvPicPr>
                        <pic:blipFill>
                          <a:blip r:embed="rId20">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1"/>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227"/>
        </w:trPr>
        <w:tc>
          <w:tcPr>
            <w:tcW w:w="1614" w:type="dxa"/>
            <w:vMerge/>
            <w:shd w:val="clear" w:color="auto" w:fill="D4C19C"/>
            <w:vAlign w:val="center"/>
          </w:tcPr>
          <w:p w:rsidR="0091587B" w:rsidRPr="009E77FF" w:rsidRDefault="0091587B" w:rsidP="006F7F21">
            <w:pPr>
              <w:jc w:val="center"/>
              <w:rPr>
                <w:rFonts w:ascii="Noto Sans" w:hAnsi="Noto Sans" w:cs="Noto Sans"/>
                <w:b/>
                <w:bCs/>
                <w:sz w:val="18"/>
                <w:szCs w:val="18"/>
              </w:rPr>
            </w:pPr>
          </w:p>
        </w:tc>
        <w:tc>
          <w:tcPr>
            <w:tcW w:w="6319" w:type="dxa"/>
            <w:shd w:val="clear" w:color="auto" w:fill="F2F2F2" w:themeFill="background1" w:themeFillShade="F2"/>
            <w:vAlign w:val="center"/>
          </w:tcPr>
          <w:p w:rsidR="0091587B" w:rsidRPr="009E77FF" w:rsidRDefault="0091587B" w:rsidP="006F7F21">
            <w:pPr>
              <w:rPr>
                <w:rFonts w:ascii="Noto Sans" w:hAnsi="Noto Sans" w:cs="Noto Sans"/>
                <w:sz w:val="18"/>
                <w:szCs w:val="18"/>
              </w:rPr>
            </w:pPr>
            <w:r w:rsidRPr="009E77FF">
              <w:rPr>
                <w:rFonts w:ascii="Noto Sans" w:hAnsi="Noto Sans" w:cs="Noto Sans"/>
                <w:sz w:val="18"/>
                <w:szCs w:val="18"/>
              </w:rPr>
              <w:t>Otros elementos del entorno</w:t>
            </w:r>
          </w:p>
        </w:tc>
        <w:tc>
          <w:tcPr>
            <w:tcW w:w="895" w:type="dxa"/>
            <w:shd w:val="clear" w:color="auto" w:fill="F2F2F2" w:themeFill="background1" w:themeFillShade="F2"/>
            <w:vAlign w:val="center"/>
          </w:tcPr>
          <w:p w:rsidR="0091587B" w:rsidRPr="009E77FF" w:rsidRDefault="00B94F3B" w:rsidP="006F7F21">
            <w:pPr>
              <w:jc w:val="center"/>
              <w:rPr>
                <w:rFonts w:ascii="Noto Sans" w:hAnsi="Noto Sans" w:cs="Noto Sans"/>
                <w:sz w:val="18"/>
                <w:szCs w:val="18"/>
              </w:rPr>
            </w:pPr>
            <w:r w:rsidRPr="009E77FF">
              <w:rPr>
                <w:rFonts w:ascii="Noto Sans" w:hAnsi="Noto Sans" w:cs="Noto Sans"/>
                <w:noProof/>
                <w:sz w:val="18"/>
                <w:szCs w:val="18"/>
                <w:lang w:val="en-US" w:eastAsia="en-US"/>
              </w:rPr>
              <w:drawing>
                <wp:inline distT="0" distB="0" distL="0" distR="0" wp14:anchorId="6AE4C0D2" wp14:editId="64C61679">
                  <wp:extent cx="252000" cy="252000"/>
                  <wp:effectExtent l="0" t="0" r="0" b="0"/>
                  <wp:docPr id="5" name="Gráfico 77" descr="Insignia de cruz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47206" name="Gráfico 561847206" descr="Insignia de cruz con relleno sólido"/>
                          <pic:cNvPicPr/>
                        </pic:nvPicPr>
                        <pic:blipFill>
                          <a:blip r:embed="rId20">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1"/>
                              </a:ext>
                            </a:extLst>
                          </a:blip>
                          <a:stretch>
                            <a:fillRect/>
                          </a:stretch>
                        </pic:blipFill>
                        <pic:spPr>
                          <a:xfrm>
                            <a:off x="0" y="0"/>
                            <a:ext cx="252000" cy="252000"/>
                          </a:xfrm>
                          <a:prstGeom prst="rect">
                            <a:avLst/>
                          </a:prstGeom>
                        </pic:spPr>
                      </pic:pic>
                    </a:graphicData>
                  </a:graphic>
                </wp:inline>
              </w:drawing>
            </w:r>
          </w:p>
        </w:tc>
      </w:tr>
    </w:tbl>
    <w:p w:rsidR="0091587B" w:rsidRPr="009E77FF" w:rsidRDefault="00B94F3B" w:rsidP="00F63B3B">
      <w:pPr>
        <w:pStyle w:val="Prrafodelista"/>
        <w:ind w:left="360"/>
        <w:rPr>
          <w:rFonts w:ascii="Noto Sans" w:hAnsi="Noto Sans" w:cs="Noto Sans"/>
        </w:rPr>
      </w:pPr>
      <w:r w:rsidRPr="009E77FF">
        <w:rPr>
          <w:rFonts w:ascii="Noto Sans" w:hAnsi="Noto Sans" w:cs="Noto Sans"/>
          <w:noProof/>
          <w:highlight w:val="cyan"/>
          <w:lang w:val="en-US" w:eastAsia="en-US"/>
        </w:rPr>
        <w:drawing>
          <wp:anchor distT="0" distB="0" distL="114300" distR="114300" simplePos="0" relativeHeight="251661312" behindDoc="0" locked="0" layoutInCell="1" allowOverlap="1" wp14:anchorId="7F439ECE" wp14:editId="627C1B97">
            <wp:simplePos x="0" y="0"/>
            <wp:positionH relativeFrom="margin">
              <wp:posOffset>-480695</wp:posOffset>
            </wp:positionH>
            <wp:positionV relativeFrom="paragraph">
              <wp:posOffset>-32112521</wp:posOffset>
            </wp:positionV>
            <wp:extent cx="6573520" cy="4105275"/>
            <wp:effectExtent l="0" t="0" r="0" b="9525"/>
            <wp:wrapNone/>
            <wp:docPr id="1084779798" name="Imagen 1084779798"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779798" name="Imagen 1084779798" descr="Diagrama&#10;&#10;El contenido generado por IA puede ser incorrecto."/>
                    <pic:cNvPicPr/>
                  </pic:nvPicPr>
                  <pic:blipFill>
                    <a:blip r:embed="rId22">
                      <a:extLst>
                        <a:ext uri="{28A0092B-C50C-407E-A947-70E740481C1C}">
                          <a14:useLocalDpi xmlns:a14="http://schemas.microsoft.com/office/drawing/2010/main" val="0"/>
                        </a:ext>
                      </a:extLst>
                    </a:blip>
                    <a:stretch>
                      <a:fillRect/>
                    </a:stretch>
                  </pic:blipFill>
                  <pic:spPr>
                    <a:xfrm>
                      <a:off x="0" y="0"/>
                      <a:ext cx="6573520" cy="4105275"/>
                    </a:xfrm>
                    <a:prstGeom prst="rect">
                      <a:avLst/>
                    </a:prstGeom>
                  </pic:spPr>
                </pic:pic>
              </a:graphicData>
            </a:graphic>
            <wp14:sizeRelH relativeFrom="margin">
              <wp14:pctWidth>0</wp14:pctWidth>
            </wp14:sizeRelH>
            <wp14:sizeRelV relativeFrom="margin">
              <wp14:pctHeight>0</wp14:pctHeight>
            </wp14:sizeRelV>
          </wp:anchor>
        </w:drawing>
      </w:r>
    </w:p>
    <w:tbl>
      <w:tblPr>
        <w:tblStyle w:val="Tablaconcuadrcula"/>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7933"/>
        <w:gridCol w:w="895"/>
      </w:tblGrid>
      <w:tr w:rsidR="0091587B" w:rsidRPr="009E77FF" w:rsidTr="006F7F21">
        <w:trPr>
          <w:trHeight w:val="653"/>
          <w:tblHeader/>
        </w:trPr>
        <w:tc>
          <w:tcPr>
            <w:tcW w:w="8828" w:type="dxa"/>
            <w:gridSpan w:val="2"/>
            <w:shd w:val="clear" w:color="auto" w:fill="595959" w:themeFill="text1" w:themeFillTint="A6"/>
            <w:vAlign w:val="center"/>
          </w:tcPr>
          <w:p w:rsidR="0091587B" w:rsidRPr="009E77FF" w:rsidRDefault="0091587B" w:rsidP="006F7F21">
            <w:pPr>
              <w:jc w:val="both"/>
              <w:rPr>
                <w:rFonts w:ascii="Noto Sans" w:hAnsi="Noto Sans" w:cs="Noto Sans"/>
                <w:b/>
                <w:bCs/>
                <w:noProof/>
                <w:color w:val="FFFFFF" w:themeColor="background1"/>
                <w:sz w:val="18"/>
                <w:szCs w:val="18"/>
              </w:rPr>
            </w:pPr>
            <w:r w:rsidRPr="009E77FF">
              <w:rPr>
                <w:rFonts w:ascii="Noto Sans" w:hAnsi="Noto Sans" w:cs="Noto Sans"/>
                <w:b/>
                <w:bCs/>
                <w:noProof/>
                <w:color w:val="FFFFFF" w:themeColor="background1"/>
                <w:sz w:val="18"/>
                <w:szCs w:val="18"/>
              </w:rPr>
              <w:t xml:space="preserve">¿Actualmente el Pp atiende alguna temática específica relacionada con los Anexos Transversales del PEF se encuentra integrado a alguno? </w:t>
            </w:r>
          </w:p>
        </w:tc>
      </w:tr>
      <w:tr w:rsidR="0091587B" w:rsidRPr="009E77FF" w:rsidTr="006F7F21">
        <w:trPr>
          <w:trHeight w:val="397"/>
        </w:trPr>
        <w:tc>
          <w:tcPr>
            <w:tcW w:w="7933" w:type="dxa"/>
            <w:shd w:val="clear" w:color="auto" w:fill="F6F2EA"/>
            <w:vAlign w:val="center"/>
          </w:tcPr>
          <w:p w:rsidR="0091587B" w:rsidRPr="009E77FF" w:rsidRDefault="0091587B" w:rsidP="006F7F21">
            <w:pPr>
              <w:rPr>
                <w:rFonts w:ascii="Noto Sans" w:hAnsi="Noto Sans" w:cs="Noto Sans"/>
                <w:noProof/>
                <w:sz w:val="18"/>
                <w:szCs w:val="18"/>
              </w:rPr>
            </w:pPr>
            <w:r w:rsidRPr="009E77FF">
              <w:rPr>
                <w:rFonts w:ascii="Noto Sans" w:hAnsi="Noto Sans" w:cs="Noto Sans"/>
                <w:noProof/>
                <w:sz w:val="18"/>
                <w:szCs w:val="18"/>
              </w:rPr>
              <w:t>Erogaciones para el Desarrollo Integral, Intercultural y Sostenible de los Pueblos y Comunidades Indígenas y Afromexicanas</w:t>
            </w:r>
          </w:p>
        </w:tc>
        <w:tc>
          <w:tcPr>
            <w:tcW w:w="895" w:type="dxa"/>
            <w:shd w:val="clear" w:color="auto" w:fill="F6F2EA"/>
            <w:vAlign w:val="center"/>
          </w:tcPr>
          <w:p w:rsidR="0091587B" w:rsidRPr="009E77FF" w:rsidRDefault="00B94F3B" w:rsidP="006F7F21">
            <w:pPr>
              <w:jc w:val="center"/>
              <w:rPr>
                <w:rFonts w:ascii="Noto Sans" w:hAnsi="Noto Sans" w:cs="Noto Sans"/>
                <w:noProof/>
                <w:sz w:val="18"/>
                <w:szCs w:val="18"/>
              </w:rPr>
            </w:pPr>
            <w:r w:rsidRPr="009E77FF">
              <w:rPr>
                <w:rFonts w:ascii="Noto Sans" w:hAnsi="Noto Sans" w:cs="Noto Sans"/>
                <w:noProof/>
                <w:sz w:val="18"/>
                <w:szCs w:val="18"/>
                <w:lang w:val="en-US" w:eastAsia="en-US"/>
              </w:rPr>
              <w:drawing>
                <wp:inline distT="0" distB="0" distL="0" distR="0" wp14:anchorId="4BAF4BC9" wp14:editId="1EFB3D41">
                  <wp:extent cx="252000" cy="252000"/>
                  <wp:effectExtent l="0" t="0" r="0" b="0"/>
                  <wp:docPr id="8" name="Gráfico 77" descr="Insignia de cruz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47206" name="Gráfico 561847206" descr="Insignia de cruz con relleno sólido"/>
                          <pic:cNvPicPr/>
                        </pic:nvPicPr>
                        <pic:blipFill>
                          <a:blip r:embed="rId23">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4"/>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397"/>
        </w:trPr>
        <w:tc>
          <w:tcPr>
            <w:tcW w:w="7933" w:type="dxa"/>
            <w:shd w:val="clear" w:color="auto" w:fill="F6F2EA"/>
            <w:vAlign w:val="center"/>
          </w:tcPr>
          <w:p w:rsidR="0091587B" w:rsidRPr="009E77FF" w:rsidRDefault="0091587B" w:rsidP="006F7F21">
            <w:pPr>
              <w:rPr>
                <w:rFonts w:ascii="Noto Sans" w:hAnsi="Noto Sans" w:cs="Noto Sans"/>
                <w:noProof/>
                <w:sz w:val="18"/>
                <w:szCs w:val="18"/>
              </w:rPr>
            </w:pPr>
            <w:r w:rsidRPr="009E77FF">
              <w:rPr>
                <w:rFonts w:ascii="Noto Sans" w:hAnsi="Noto Sans" w:cs="Noto Sans"/>
                <w:noProof/>
                <w:sz w:val="18"/>
                <w:szCs w:val="18"/>
              </w:rPr>
              <w:t>Erogaciones para la Igualdad entre Mujeres y Hombres</w:t>
            </w:r>
          </w:p>
        </w:tc>
        <w:tc>
          <w:tcPr>
            <w:tcW w:w="895" w:type="dxa"/>
            <w:shd w:val="clear" w:color="auto" w:fill="F6F2EA"/>
            <w:vAlign w:val="center"/>
          </w:tcPr>
          <w:p w:rsidR="0091587B" w:rsidRPr="009E77FF" w:rsidRDefault="00D206CE" w:rsidP="006F7F21">
            <w:pPr>
              <w:jc w:val="center"/>
              <w:rPr>
                <w:rFonts w:ascii="Noto Sans" w:hAnsi="Noto Sans" w:cs="Noto Sans"/>
                <w:noProof/>
                <w:sz w:val="18"/>
                <w:szCs w:val="18"/>
              </w:rPr>
            </w:pPr>
            <w:r w:rsidRPr="009E77FF">
              <w:rPr>
                <w:rFonts w:ascii="Noto Sans" w:hAnsi="Noto Sans" w:cs="Noto Sans"/>
                <w:noProof/>
                <w:sz w:val="18"/>
                <w:szCs w:val="18"/>
                <w:lang w:val="en-US" w:eastAsia="en-US"/>
              </w:rPr>
              <w:drawing>
                <wp:inline distT="0" distB="0" distL="0" distR="0" wp14:anchorId="762D56A3" wp14:editId="44619A09">
                  <wp:extent cx="252000" cy="252000"/>
                  <wp:effectExtent l="0" t="0" r="0" b="0"/>
                  <wp:docPr id="16"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8">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9"/>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397"/>
        </w:trPr>
        <w:tc>
          <w:tcPr>
            <w:tcW w:w="7933" w:type="dxa"/>
            <w:shd w:val="clear" w:color="auto" w:fill="F6F2EA"/>
            <w:vAlign w:val="center"/>
          </w:tcPr>
          <w:p w:rsidR="0091587B" w:rsidRPr="009E77FF" w:rsidRDefault="0091587B" w:rsidP="006F7F21">
            <w:pPr>
              <w:rPr>
                <w:rFonts w:ascii="Noto Sans" w:hAnsi="Noto Sans" w:cs="Noto Sans"/>
                <w:noProof/>
                <w:sz w:val="18"/>
                <w:szCs w:val="18"/>
              </w:rPr>
            </w:pPr>
            <w:r w:rsidRPr="009E77FF">
              <w:rPr>
                <w:rFonts w:ascii="Noto Sans" w:hAnsi="Noto Sans" w:cs="Noto Sans"/>
                <w:noProof/>
                <w:sz w:val="18"/>
                <w:szCs w:val="18"/>
              </w:rPr>
              <w:t>Erogaciones para el Desarrollo de los Jóvenes</w:t>
            </w:r>
          </w:p>
        </w:tc>
        <w:tc>
          <w:tcPr>
            <w:tcW w:w="895" w:type="dxa"/>
            <w:shd w:val="clear" w:color="auto" w:fill="F6F2EA"/>
            <w:vAlign w:val="center"/>
          </w:tcPr>
          <w:p w:rsidR="0091587B" w:rsidRPr="009E77FF" w:rsidRDefault="00B94F3B" w:rsidP="006F7F21">
            <w:pPr>
              <w:jc w:val="center"/>
              <w:rPr>
                <w:rFonts w:ascii="Noto Sans" w:hAnsi="Noto Sans" w:cs="Noto Sans"/>
                <w:noProof/>
                <w:sz w:val="18"/>
                <w:szCs w:val="18"/>
              </w:rPr>
            </w:pPr>
            <w:r w:rsidRPr="009E77FF">
              <w:rPr>
                <w:rFonts w:ascii="Noto Sans" w:hAnsi="Noto Sans" w:cs="Noto Sans"/>
                <w:noProof/>
                <w:sz w:val="18"/>
                <w:szCs w:val="18"/>
                <w:lang w:val="en-US" w:eastAsia="en-US"/>
              </w:rPr>
              <w:drawing>
                <wp:inline distT="0" distB="0" distL="0" distR="0" wp14:anchorId="2D480EC3" wp14:editId="406B1B0B">
                  <wp:extent cx="252000" cy="252000"/>
                  <wp:effectExtent l="0" t="0" r="0" b="0"/>
                  <wp:docPr id="9" name="Gráfico 77" descr="Insignia de cruz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47206" name="Gráfico 561847206" descr="Insignia de cruz con relleno sólido"/>
                          <pic:cNvPicPr/>
                        </pic:nvPicPr>
                        <pic:blipFill>
                          <a:blip r:embed="rId23">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4"/>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397"/>
        </w:trPr>
        <w:tc>
          <w:tcPr>
            <w:tcW w:w="7933" w:type="dxa"/>
            <w:shd w:val="clear" w:color="auto" w:fill="F6F2EA"/>
            <w:vAlign w:val="center"/>
          </w:tcPr>
          <w:p w:rsidR="0091587B" w:rsidRPr="009E77FF" w:rsidRDefault="0091587B" w:rsidP="006F7F21">
            <w:pPr>
              <w:rPr>
                <w:rFonts w:ascii="Noto Sans" w:hAnsi="Noto Sans" w:cs="Noto Sans"/>
                <w:noProof/>
                <w:sz w:val="18"/>
                <w:szCs w:val="18"/>
              </w:rPr>
            </w:pPr>
            <w:r w:rsidRPr="009E77FF">
              <w:rPr>
                <w:rFonts w:ascii="Noto Sans" w:hAnsi="Noto Sans" w:cs="Noto Sans"/>
                <w:noProof/>
                <w:sz w:val="18"/>
                <w:szCs w:val="18"/>
              </w:rPr>
              <w:t>Programa Especial Concurrente para el Desarrollo Rural Sustentable</w:t>
            </w:r>
          </w:p>
        </w:tc>
        <w:tc>
          <w:tcPr>
            <w:tcW w:w="895" w:type="dxa"/>
            <w:shd w:val="clear" w:color="auto" w:fill="F6F2EA"/>
            <w:vAlign w:val="center"/>
          </w:tcPr>
          <w:p w:rsidR="0091587B" w:rsidRPr="009E77FF" w:rsidRDefault="0091587B" w:rsidP="006F7F21">
            <w:pPr>
              <w:jc w:val="center"/>
              <w:rPr>
                <w:rFonts w:ascii="Noto Sans" w:hAnsi="Noto Sans" w:cs="Noto Sans"/>
                <w:noProof/>
                <w:sz w:val="18"/>
                <w:szCs w:val="18"/>
              </w:rPr>
            </w:pPr>
            <w:r w:rsidRPr="009E77FF">
              <w:rPr>
                <w:rFonts w:ascii="Noto Sans" w:hAnsi="Noto Sans" w:cs="Noto Sans"/>
                <w:noProof/>
                <w:sz w:val="18"/>
                <w:szCs w:val="18"/>
                <w:lang w:val="en-US" w:eastAsia="en-US"/>
              </w:rPr>
              <w:drawing>
                <wp:inline distT="0" distB="0" distL="0" distR="0" wp14:anchorId="5229C302" wp14:editId="272B1026">
                  <wp:extent cx="252000" cy="252000"/>
                  <wp:effectExtent l="0" t="0" r="0" b="0"/>
                  <wp:docPr id="147690786" name="Gráfico 77" descr="Insignia de cruz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47206" name="Gráfico 561847206" descr="Insignia de cruz con relleno sólido"/>
                          <pic:cNvPicPr/>
                        </pic:nvPicPr>
                        <pic:blipFill>
                          <a:blip r:embed="rId23">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4"/>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397"/>
        </w:trPr>
        <w:tc>
          <w:tcPr>
            <w:tcW w:w="7933" w:type="dxa"/>
            <w:shd w:val="clear" w:color="auto" w:fill="F6F2EA"/>
            <w:vAlign w:val="center"/>
          </w:tcPr>
          <w:p w:rsidR="0091587B" w:rsidRPr="009E77FF" w:rsidRDefault="0091587B" w:rsidP="006F7F21">
            <w:pPr>
              <w:rPr>
                <w:rFonts w:ascii="Noto Sans" w:hAnsi="Noto Sans" w:cs="Noto Sans"/>
                <w:noProof/>
                <w:sz w:val="18"/>
                <w:szCs w:val="18"/>
              </w:rPr>
            </w:pPr>
            <w:r w:rsidRPr="009E77FF">
              <w:rPr>
                <w:rFonts w:ascii="Noto Sans" w:hAnsi="Noto Sans" w:cs="Noto Sans"/>
                <w:noProof/>
                <w:sz w:val="18"/>
                <w:szCs w:val="18"/>
              </w:rPr>
              <w:t>Programa de Humanidades, Ciencias, Tecnologías e Innovación</w:t>
            </w:r>
          </w:p>
        </w:tc>
        <w:tc>
          <w:tcPr>
            <w:tcW w:w="895" w:type="dxa"/>
            <w:shd w:val="clear" w:color="auto" w:fill="F6F2EA"/>
            <w:vAlign w:val="center"/>
          </w:tcPr>
          <w:p w:rsidR="0091587B" w:rsidRPr="009E77FF" w:rsidRDefault="00B94F3B" w:rsidP="006F7F21">
            <w:pPr>
              <w:jc w:val="center"/>
              <w:rPr>
                <w:rFonts w:ascii="Noto Sans" w:hAnsi="Noto Sans" w:cs="Noto Sans"/>
                <w:noProof/>
                <w:sz w:val="18"/>
                <w:szCs w:val="18"/>
              </w:rPr>
            </w:pPr>
            <w:r w:rsidRPr="009E77FF">
              <w:rPr>
                <w:rFonts w:ascii="Noto Sans" w:hAnsi="Noto Sans" w:cs="Noto Sans"/>
                <w:noProof/>
                <w:sz w:val="18"/>
                <w:szCs w:val="18"/>
                <w:lang w:val="en-US" w:eastAsia="en-US"/>
              </w:rPr>
              <w:drawing>
                <wp:inline distT="0" distB="0" distL="0" distR="0" wp14:anchorId="09299260" wp14:editId="1AE122AD">
                  <wp:extent cx="252000" cy="252000"/>
                  <wp:effectExtent l="0" t="0" r="0" b="0"/>
                  <wp:docPr id="13" name="Gráfico 77" descr="Insignia de cruz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47206" name="Gráfico 561847206" descr="Insignia de cruz con relleno sólido"/>
                          <pic:cNvPicPr/>
                        </pic:nvPicPr>
                        <pic:blipFill>
                          <a:blip r:embed="rId23">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4"/>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397"/>
        </w:trPr>
        <w:tc>
          <w:tcPr>
            <w:tcW w:w="7933" w:type="dxa"/>
            <w:shd w:val="clear" w:color="auto" w:fill="F6F2EA"/>
            <w:vAlign w:val="center"/>
          </w:tcPr>
          <w:p w:rsidR="0091587B" w:rsidRPr="009E77FF" w:rsidRDefault="0091587B" w:rsidP="006F7F21">
            <w:pPr>
              <w:rPr>
                <w:rFonts w:ascii="Noto Sans" w:hAnsi="Noto Sans" w:cs="Noto Sans"/>
                <w:noProof/>
                <w:sz w:val="18"/>
                <w:szCs w:val="18"/>
              </w:rPr>
            </w:pPr>
            <w:r w:rsidRPr="009E77FF">
              <w:rPr>
                <w:rFonts w:ascii="Noto Sans" w:hAnsi="Noto Sans" w:cs="Noto Sans"/>
                <w:noProof/>
                <w:sz w:val="18"/>
                <w:szCs w:val="18"/>
              </w:rPr>
              <w:t>Estrategia de Transición para Promover el Uso de Tecnologías y Combustibles más Limpios</w:t>
            </w:r>
          </w:p>
        </w:tc>
        <w:tc>
          <w:tcPr>
            <w:tcW w:w="895" w:type="dxa"/>
            <w:shd w:val="clear" w:color="auto" w:fill="F6F2EA"/>
            <w:vAlign w:val="center"/>
          </w:tcPr>
          <w:p w:rsidR="0091587B" w:rsidRPr="009E77FF" w:rsidRDefault="0091587B" w:rsidP="006F7F21">
            <w:pPr>
              <w:jc w:val="center"/>
              <w:rPr>
                <w:rFonts w:ascii="Noto Sans" w:hAnsi="Noto Sans" w:cs="Noto Sans"/>
                <w:noProof/>
                <w:sz w:val="18"/>
                <w:szCs w:val="18"/>
              </w:rPr>
            </w:pPr>
            <w:r w:rsidRPr="009E77FF">
              <w:rPr>
                <w:rFonts w:ascii="Noto Sans" w:hAnsi="Noto Sans" w:cs="Noto Sans"/>
                <w:noProof/>
                <w:sz w:val="18"/>
                <w:szCs w:val="18"/>
                <w:lang w:val="en-US" w:eastAsia="en-US"/>
              </w:rPr>
              <w:drawing>
                <wp:inline distT="0" distB="0" distL="0" distR="0" wp14:anchorId="2C8E29B8" wp14:editId="64E34C96">
                  <wp:extent cx="252000" cy="252000"/>
                  <wp:effectExtent l="0" t="0" r="0" b="0"/>
                  <wp:docPr id="179296147" name="Gráfico 77" descr="Insignia de cruz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47206" name="Gráfico 561847206" descr="Insignia de cruz con relleno sólido"/>
                          <pic:cNvPicPr/>
                        </pic:nvPicPr>
                        <pic:blipFill>
                          <a:blip r:embed="rId23">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4"/>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397"/>
        </w:trPr>
        <w:tc>
          <w:tcPr>
            <w:tcW w:w="7933" w:type="dxa"/>
            <w:shd w:val="clear" w:color="auto" w:fill="F6F2EA"/>
            <w:vAlign w:val="center"/>
          </w:tcPr>
          <w:p w:rsidR="0091587B" w:rsidRPr="009E77FF" w:rsidRDefault="0091587B" w:rsidP="006F7F21">
            <w:pPr>
              <w:rPr>
                <w:rFonts w:ascii="Noto Sans" w:hAnsi="Noto Sans" w:cs="Noto Sans"/>
                <w:noProof/>
                <w:sz w:val="18"/>
                <w:szCs w:val="18"/>
              </w:rPr>
            </w:pPr>
            <w:r w:rsidRPr="009E77FF">
              <w:rPr>
                <w:rFonts w:ascii="Noto Sans" w:hAnsi="Noto Sans" w:cs="Noto Sans"/>
                <w:noProof/>
                <w:sz w:val="18"/>
                <w:szCs w:val="18"/>
              </w:rPr>
              <w:t>Recursos para la Atención de Grupos Vulnerables</w:t>
            </w:r>
          </w:p>
        </w:tc>
        <w:tc>
          <w:tcPr>
            <w:tcW w:w="895" w:type="dxa"/>
            <w:shd w:val="clear" w:color="auto" w:fill="F6F2EA"/>
            <w:vAlign w:val="center"/>
          </w:tcPr>
          <w:p w:rsidR="0091587B" w:rsidRPr="009E77FF" w:rsidRDefault="00D206CE" w:rsidP="006F7F21">
            <w:pPr>
              <w:jc w:val="center"/>
              <w:rPr>
                <w:rFonts w:ascii="Noto Sans" w:hAnsi="Noto Sans" w:cs="Noto Sans"/>
                <w:noProof/>
                <w:sz w:val="18"/>
                <w:szCs w:val="18"/>
              </w:rPr>
            </w:pPr>
            <w:r w:rsidRPr="009E77FF">
              <w:rPr>
                <w:rFonts w:ascii="Noto Sans" w:hAnsi="Noto Sans" w:cs="Noto Sans"/>
                <w:noProof/>
                <w:sz w:val="18"/>
                <w:szCs w:val="18"/>
                <w:lang w:val="en-US" w:eastAsia="en-US"/>
              </w:rPr>
              <w:drawing>
                <wp:inline distT="0" distB="0" distL="0" distR="0" wp14:anchorId="7D7C49C0" wp14:editId="242644A9">
                  <wp:extent cx="252000" cy="252000"/>
                  <wp:effectExtent l="0" t="0" r="0" b="0"/>
                  <wp:docPr id="17"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8">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9"/>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397"/>
        </w:trPr>
        <w:tc>
          <w:tcPr>
            <w:tcW w:w="7933" w:type="dxa"/>
            <w:shd w:val="clear" w:color="auto" w:fill="F6F2EA"/>
            <w:vAlign w:val="center"/>
          </w:tcPr>
          <w:p w:rsidR="0091587B" w:rsidRPr="009E77FF" w:rsidRDefault="0091587B" w:rsidP="006F7F21">
            <w:pPr>
              <w:rPr>
                <w:rFonts w:ascii="Noto Sans" w:hAnsi="Noto Sans" w:cs="Noto Sans"/>
                <w:noProof/>
                <w:sz w:val="18"/>
                <w:szCs w:val="18"/>
              </w:rPr>
            </w:pPr>
            <w:r w:rsidRPr="009E77FF">
              <w:rPr>
                <w:rFonts w:ascii="Noto Sans" w:hAnsi="Noto Sans" w:cs="Noto Sans"/>
                <w:noProof/>
                <w:sz w:val="18"/>
                <w:szCs w:val="18"/>
              </w:rPr>
              <w:t>Recursos para la Adaptación y Mitigación de los Efectos del Cambio Climático</w:t>
            </w:r>
          </w:p>
        </w:tc>
        <w:tc>
          <w:tcPr>
            <w:tcW w:w="895" w:type="dxa"/>
            <w:shd w:val="clear" w:color="auto" w:fill="F6F2EA"/>
            <w:vAlign w:val="center"/>
          </w:tcPr>
          <w:p w:rsidR="0091587B" w:rsidRPr="009E77FF" w:rsidRDefault="0091587B" w:rsidP="006F7F21">
            <w:pPr>
              <w:jc w:val="center"/>
              <w:rPr>
                <w:rFonts w:ascii="Noto Sans" w:hAnsi="Noto Sans" w:cs="Noto Sans"/>
                <w:noProof/>
                <w:sz w:val="18"/>
                <w:szCs w:val="18"/>
              </w:rPr>
            </w:pPr>
            <w:r w:rsidRPr="009E77FF">
              <w:rPr>
                <w:rFonts w:ascii="Noto Sans" w:hAnsi="Noto Sans" w:cs="Noto Sans"/>
                <w:noProof/>
                <w:sz w:val="18"/>
                <w:szCs w:val="18"/>
                <w:lang w:val="en-US" w:eastAsia="en-US"/>
              </w:rPr>
              <w:drawing>
                <wp:inline distT="0" distB="0" distL="0" distR="0" wp14:anchorId="0D663E4F" wp14:editId="2671126D">
                  <wp:extent cx="252000" cy="252000"/>
                  <wp:effectExtent l="0" t="0" r="0" b="0"/>
                  <wp:docPr id="1600974823" name="Gráfico 77" descr="Insignia de cruz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47206" name="Gráfico 561847206" descr="Insignia de cruz con relleno sólido"/>
                          <pic:cNvPicPr/>
                        </pic:nvPicPr>
                        <pic:blipFill>
                          <a:blip r:embed="rId23">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4"/>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397"/>
        </w:trPr>
        <w:tc>
          <w:tcPr>
            <w:tcW w:w="7933" w:type="dxa"/>
            <w:shd w:val="clear" w:color="auto" w:fill="F6F2EA"/>
            <w:vAlign w:val="center"/>
          </w:tcPr>
          <w:p w:rsidR="0091587B" w:rsidRPr="009E77FF" w:rsidRDefault="0091587B" w:rsidP="006F7F21">
            <w:pPr>
              <w:rPr>
                <w:rFonts w:ascii="Noto Sans" w:hAnsi="Noto Sans" w:cs="Noto Sans"/>
                <w:noProof/>
                <w:sz w:val="18"/>
                <w:szCs w:val="18"/>
              </w:rPr>
            </w:pPr>
            <w:r w:rsidRPr="009E77FF">
              <w:rPr>
                <w:rFonts w:ascii="Noto Sans" w:hAnsi="Noto Sans" w:cs="Noto Sans"/>
                <w:noProof/>
                <w:sz w:val="18"/>
                <w:szCs w:val="18"/>
              </w:rPr>
              <w:t>Recursos para la Atención de Niñas, Niños y Adolescentes</w:t>
            </w:r>
          </w:p>
        </w:tc>
        <w:tc>
          <w:tcPr>
            <w:tcW w:w="895" w:type="dxa"/>
            <w:shd w:val="clear" w:color="auto" w:fill="F6F2EA"/>
            <w:vAlign w:val="center"/>
          </w:tcPr>
          <w:p w:rsidR="0091587B" w:rsidRPr="009E77FF" w:rsidRDefault="00D206CE" w:rsidP="006F7F21">
            <w:pPr>
              <w:jc w:val="center"/>
              <w:rPr>
                <w:rFonts w:ascii="Noto Sans" w:hAnsi="Noto Sans" w:cs="Noto Sans"/>
                <w:noProof/>
                <w:sz w:val="18"/>
                <w:szCs w:val="18"/>
              </w:rPr>
            </w:pPr>
            <w:r w:rsidRPr="009E77FF">
              <w:rPr>
                <w:rFonts w:ascii="Noto Sans" w:hAnsi="Noto Sans" w:cs="Noto Sans"/>
                <w:noProof/>
                <w:sz w:val="18"/>
                <w:szCs w:val="18"/>
                <w:lang w:val="en-US" w:eastAsia="en-US"/>
              </w:rPr>
              <w:drawing>
                <wp:inline distT="0" distB="0" distL="0" distR="0" wp14:anchorId="0ECFD643" wp14:editId="565B937E">
                  <wp:extent cx="252000" cy="252000"/>
                  <wp:effectExtent l="0" t="0" r="0" b="0"/>
                  <wp:docPr id="18" name="Gráfico 78" descr="Marca de insignia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931439" name="Gráfico 2112931439" descr="Marca de insignia1 con relleno sólido"/>
                          <pic:cNvPicPr/>
                        </pic:nvPicPr>
                        <pic:blipFill>
                          <a:blip r:embed="rId18">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9"/>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397"/>
        </w:trPr>
        <w:tc>
          <w:tcPr>
            <w:tcW w:w="7933" w:type="dxa"/>
            <w:shd w:val="clear" w:color="auto" w:fill="F6F2EA"/>
            <w:vAlign w:val="center"/>
          </w:tcPr>
          <w:p w:rsidR="0091587B" w:rsidRPr="009E77FF" w:rsidRDefault="0091587B" w:rsidP="006F7F21">
            <w:pPr>
              <w:rPr>
                <w:rFonts w:ascii="Noto Sans" w:hAnsi="Noto Sans" w:cs="Noto Sans"/>
                <w:noProof/>
                <w:sz w:val="18"/>
                <w:szCs w:val="18"/>
              </w:rPr>
            </w:pPr>
            <w:r w:rsidRPr="009E77FF">
              <w:rPr>
                <w:rFonts w:ascii="Noto Sans" w:hAnsi="Noto Sans" w:cs="Noto Sans"/>
                <w:noProof/>
                <w:sz w:val="18"/>
                <w:szCs w:val="18"/>
              </w:rPr>
              <w:t>Prevención, Detección, Investigación y Sanción de Hechos de Corrupción</w:t>
            </w:r>
          </w:p>
        </w:tc>
        <w:tc>
          <w:tcPr>
            <w:tcW w:w="895" w:type="dxa"/>
            <w:shd w:val="clear" w:color="auto" w:fill="F6F2EA"/>
            <w:vAlign w:val="center"/>
          </w:tcPr>
          <w:p w:rsidR="0091587B" w:rsidRPr="009E77FF" w:rsidRDefault="0091587B" w:rsidP="006F7F21">
            <w:pPr>
              <w:jc w:val="center"/>
              <w:rPr>
                <w:rFonts w:ascii="Noto Sans" w:hAnsi="Noto Sans" w:cs="Noto Sans"/>
                <w:noProof/>
                <w:sz w:val="18"/>
                <w:szCs w:val="18"/>
              </w:rPr>
            </w:pPr>
            <w:r w:rsidRPr="009E77FF">
              <w:rPr>
                <w:rFonts w:ascii="Noto Sans" w:hAnsi="Noto Sans" w:cs="Noto Sans"/>
                <w:noProof/>
                <w:sz w:val="18"/>
                <w:szCs w:val="18"/>
                <w:lang w:val="en-US" w:eastAsia="en-US"/>
              </w:rPr>
              <w:drawing>
                <wp:inline distT="0" distB="0" distL="0" distR="0" wp14:anchorId="3F0E1A90" wp14:editId="1B1DDB82">
                  <wp:extent cx="252000" cy="252000"/>
                  <wp:effectExtent l="0" t="0" r="0" b="0"/>
                  <wp:docPr id="1975545015" name="Gráfico 77" descr="Insignia de cruz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47206" name="Gráfico 561847206" descr="Insignia de cruz con relleno sólido"/>
                          <pic:cNvPicPr/>
                        </pic:nvPicPr>
                        <pic:blipFill>
                          <a:blip r:embed="rId23">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4"/>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397"/>
        </w:trPr>
        <w:tc>
          <w:tcPr>
            <w:tcW w:w="7933" w:type="dxa"/>
            <w:shd w:val="clear" w:color="auto" w:fill="F6F2EA"/>
            <w:vAlign w:val="center"/>
          </w:tcPr>
          <w:p w:rsidR="0091587B" w:rsidRPr="009E77FF" w:rsidRDefault="0091587B" w:rsidP="006F7F21">
            <w:pPr>
              <w:rPr>
                <w:rFonts w:ascii="Noto Sans" w:hAnsi="Noto Sans" w:cs="Noto Sans"/>
                <w:noProof/>
                <w:sz w:val="18"/>
                <w:szCs w:val="18"/>
              </w:rPr>
            </w:pPr>
            <w:r w:rsidRPr="009E77FF">
              <w:rPr>
                <w:rFonts w:ascii="Noto Sans" w:hAnsi="Noto Sans" w:cs="Noto Sans"/>
                <w:noProof/>
                <w:sz w:val="18"/>
                <w:szCs w:val="18"/>
              </w:rPr>
              <w:t>Sistema Nacional de Cuidados</w:t>
            </w:r>
          </w:p>
        </w:tc>
        <w:tc>
          <w:tcPr>
            <w:tcW w:w="895" w:type="dxa"/>
            <w:shd w:val="clear" w:color="auto" w:fill="F6F2EA"/>
            <w:vAlign w:val="center"/>
          </w:tcPr>
          <w:p w:rsidR="0091587B" w:rsidRPr="009E77FF" w:rsidRDefault="00B94F3B" w:rsidP="006F7F21">
            <w:pPr>
              <w:jc w:val="center"/>
              <w:rPr>
                <w:rFonts w:ascii="Noto Sans" w:hAnsi="Noto Sans" w:cs="Noto Sans"/>
                <w:noProof/>
                <w:sz w:val="18"/>
                <w:szCs w:val="18"/>
              </w:rPr>
            </w:pPr>
            <w:r w:rsidRPr="009E77FF">
              <w:rPr>
                <w:rFonts w:ascii="Noto Sans" w:hAnsi="Noto Sans" w:cs="Noto Sans"/>
                <w:noProof/>
                <w:sz w:val="18"/>
                <w:szCs w:val="18"/>
                <w:lang w:val="en-US" w:eastAsia="en-US"/>
              </w:rPr>
              <w:drawing>
                <wp:inline distT="0" distB="0" distL="0" distR="0" wp14:anchorId="533B2C8C" wp14:editId="2028CE61">
                  <wp:extent cx="252000" cy="252000"/>
                  <wp:effectExtent l="0" t="0" r="0" b="0"/>
                  <wp:docPr id="12" name="Gráfico 77" descr="Insignia de cruz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47206" name="Gráfico 561847206" descr="Insignia de cruz con relleno sólido"/>
                          <pic:cNvPicPr/>
                        </pic:nvPicPr>
                        <pic:blipFill>
                          <a:blip r:embed="rId23">
                            <a:extLs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4"/>
                              </a:ext>
                            </a:extLst>
                          </a:blip>
                          <a:stretch>
                            <a:fillRect/>
                          </a:stretch>
                        </pic:blipFill>
                        <pic:spPr>
                          <a:xfrm>
                            <a:off x="0" y="0"/>
                            <a:ext cx="252000" cy="252000"/>
                          </a:xfrm>
                          <a:prstGeom prst="rect">
                            <a:avLst/>
                          </a:prstGeom>
                        </pic:spPr>
                      </pic:pic>
                    </a:graphicData>
                  </a:graphic>
                </wp:inline>
              </w:drawing>
            </w:r>
          </w:p>
        </w:tc>
      </w:tr>
      <w:tr w:rsidR="0091587B" w:rsidRPr="009E77FF" w:rsidTr="006F7F21">
        <w:trPr>
          <w:trHeight w:val="493"/>
        </w:trPr>
        <w:tc>
          <w:tcPr>
            <w:tcW w:w="8828" w:type="dxa"/>
            <w:gridSpan w:val="2"/>
            <w:shd w:val="clear" w:color="auto" w:fill="595959" w:themeFill="text1" w:themeFillTint="A6"/>
            <w:vAlign w:val="center"/>
          </w:tcPr>
          <w:p w:rsidR="0091587B" w:rsidRPr="009E77FF" w:rsidRDefault="0091587B" w:rsidP="006F7F21">
            <w:pPr>
              <w:rPr>
                <w:rFonts w:ascii="Noto Sans" w:hAnsi="Noto Sans" w:cs="Noto Sans"/>
                <w:noProof/>
                <w:color w:val="FFFFFF" w:themeColor="background1"/>
                <w:sz w:val="18"/>
                <w:szCs w:val="18"/>
              </w:rPr>
            </w:pPr>
            <w:r w:rsidRPr="009E77FF">
              <w:rPr>
                <w:rFonts w:ascii="Noto Sans" w:hAnsi="Noto Sans" w:cs="Noto Sans"/>
                <w:noProof/>
                <w:color w:val="FFFFFF" w:themeColor="background1"/>
                <w:sz w:val="18"/>
                <w:szCs w:val="18"/>
              </w:rPr>
              <w:t>En caso de ser afirmativo, ¿cuál es la razón por la cual se encuentra en dicho anexo?</w:t>
            </w:r>
          </w:p>
        </w:tc>
      </w:tr>
    </w:tbl>
    <w:p w:rsidR="00F63B3B" w:rsidRPr="009E77FF" w:rsidRDefault="00F63B3B">
      <w:pPr>
        <w:spacing w:after="160" w:line="259" w:lineRule="auto"/>
        <w:rPr>
          <w:rFonts w:ascii="Noto Sans" w:hAnsi="Noto Sans" w:cs="Noto Sans"/>
        </w:rPr>
      </w:pPr>
      <w:r w:rsidRPr="009E77FF">
        <w:rPr>
          <w:rFonts w:ascii="Noto Sans" w:hAnsi="Noto Sans" w:cs="Noto Sans"/>
        </w:rPr>
        <w:br w:type="page"/>
      </w:r>
    </w:p>
    <w:p w:rsidR="0091587B" w:rsidRPr="009E77FF" w:rsidRDefault="0091587B" w:rsidP="005E6276">
      <w:pPr>
        <w:pStyle w:val="Ttulo1"/>
        <w:numPr>
          <w:ilvl w:val="0"/>
          <w:numId w:val="1"/>
        </w:numPr>
        <w:spacing w:before="120" w:after="120" w:line="276" w:lineRule="auto"/>
        <w:rPr>
          <w:rFonts w:ascii="Noto Sans" w:hAnsi="Noto Sans" w:cs="Noto Sans"/>
          <w:b/>
          <w:color w:val="1E5B4F"/>
          <w:sz w:val="22"/>
          <w:szCs w:val="22"/>
        </w:rPr>
      </w:pPr>
      <w:bookmarkStart w:id="12" w:name="_Toc201830229"/>
      <w:r w:rsidRPr="009E77FF">
        <w:rPr>
          <w:rFonts w:ascii="Noto Sans" w:hAnsi="Noto Sans" w:cs="Noto Sans"/>
          <w:b/>
          <w:color w:val="1E5B4F"/>
          <w:sz w:val="22"/>
          <w:szCs w:val="22"/>
        </w:rPr>
        <w:lastRenderedPageBreak/>
        <w:t>Análisis de alternativas</w:t>
      </w:r>
      <w:bookmarkEnd w:id="12"/>
    </w:p>
    <w:p w:rsidR="00FD553F" w:rsidRPr="009E77FF" w:rsidRDefault="00FD553F" w:rsidP="00F666CB">
      <w:pPr>
        <w:pBdr>
          <w:top w:val="nil"/>
          <w:left w:val="nil"/>
          <w:bottom w:val="nil"/>
          <w:right w:val="nil"/>
          <w:between w:val="nil"/>
        </w:pBdr>
        <w:spacing w:line="360" w:lineRule="auto"/>
        <w:ind w:hanging="2"/>
        <w:jc w:val="both"/>
        <w:rPr>
          <w:rFonts w:ascii="Noto Sans" w:eastAsia="Times New Roman" w:hAnsi="Noto Sans" w:cs="Noto Sans"/>
          <w:color w:val="000000"/>
          <w:sz w:val="20"/>
          <w:szCs w:val="20"/>
        </w:rPr>
      </w:pPr>
      <w:r w:rsidRPr="009E77FF">
        <w:rPr>
          <w:rFonts w:ascii="Noto Sans" w:eastAsia="Times New Roman" w:hAnsi="Noto Sans" w:cs="Noto Sans"/>
          <w:color w:val="000000"/>
          <w:sz w:val="20"/>
          <w:szCs w:val="20"/>
        </w:rPr>
        <w:t xml:space="preserve">El programa presupuestario tiene como objetivo contribuir a que </w:t>
      </w:r>
      <w:r w:rsidRPr="009E77FF">
        <w:rPr>
          <w:rFonts w:ascii="Noto Sans" w:eastAsia="Times New Roman" w:hAnsi="Noto Sans" w:cs="Noto Sans"/>
          <w:color w:val="000000" w:themeColor="text1"/>
          <w:sz w:val="20"/>
          <w:szCs w:val="20"/>
        </w:rPr>
        <w:t>la población prioritariamente sin seguridad social con padecimientos de especialidad y alta especialidad acceda efectivamente a la atención de salud</w:t>
      </w:r>
      <w:r w:rsidRPr="009E77FF">
        <w:rPr>
          <w:rFonts w:ascii="Noto Sans" w:eastAsia="Times New Roman" w:hAnsi="Noto Sans" w:cs="Noto Sans"/>
          <w:color w:val="000000"/>
          <w:sz w:val="20"/>
          <w:szCs w:val="20"/>
        </w:rPr>
        <w:t xml:space="preserve">. </w:t>
      </w:r>
      <w:r w:rsidRPr="009E77FF">
        <w:rPr>
          <w:rFonts w:ascii="Noto Sans" w:eastAsia="Times New Roman" w:hAnsi="Noto Sans" w:cs="Noto Sans"/>
          <w:color w:val="000000" w:themeColor="text1"/>
          <w:sz w:val="20"/>
          <w:szCs w:val="20"/>
        </w:rPr>
        <w:t xml:space="preserve">En ese contexto, el programa presupuestario se centra en continuar en la generación de las condiciones que permitan brindar el acceso gratuito, progresivo, efectivo, oportuno, de calidad que satisfagan de manera integral las necesidades de salud; </w:t>
      </w:r>
      <w:r w:rsidRPr="009E77FF">
        <w:rPr>
          <w:rFonts w:ascii="Noto Sans" w:eastAsia="Times New Roman" w:hAnsi="Noto Sans" w:cs="Noto Sans"/>
          <w:color w:val="000000"/>
          <w:sz w:val="20"/>
          <w:szCs w:val="20"/>
        </w:rPr>
        <w:t>lo que implica direccionar los esfuerzo con el objetivo:</w:t>
      </w:r>
    </w:p>
    <w:p w:rsidR="00FD553F" w:rsidRPr="009E77FF" w:rsidRDefault="00FD553F" w:rsidP="00F666CB">
      <w:pPr>
        <w:pStyle w:val="Prrafodelista"/>
        <w:pBdr>
          <w:top w:val="nil"/>
          <w:left w:val="nil"/>
          <w:bottom w:val="nil"/>
          <w:right w:val="nil"/>
          <w:between w:val="nil"/>
        </w:pBdr>
        <w:spacing w:line="360" w:lineRule="auto"/>
        <w:ind w:left="718"/>
        <w:jc w:val="both"/>
        <w:rPr>
          <w:rFonts w:ascii="Noto Sans" w:eastAsia="Times New Roman" w:hAnsi="Noto Sans" w:cs="Noto Sans"/>
          <w:color w:val="000000"/>
          <w:sz w:val="20"/>
          <w:szCs w:val="20"/>
        </w:rPr>
      </w:pPr>
      <w:r w:rsidRPr="009E77FF">
        <w:rPr>
          <w:rFonts w:ascii="Noto Sans" w:eastAsia="Times New Roman" w:hAnsi="Noto Sans" w:cs="Noto Sans"/>
          <w:color w:val="000000"/>
          <w:sz w:val="20"/>
          <w:szCs w:val="20"/>
        </w:rPr>
        <w:t>Brindar atención médica</w:t>
      </w:r>
      <w:r w:rsidR="003554F3" w:rsidRPr="009E77FF">
        <w:rPr>
          <w:rFonts w:ascii="Noto Sans" w:eastAsia="Times New Roman" w:hAnsi="Noto Sans" w:cs="Noto Sans"/>
          <w:color w:val="000000"/>
          <w:sz w:val="20"/>
          <w:szCs w:val="20"/>
        </w:rPr>
        <w:t xml:space="preserve"> de especialidad y alta especialidad</w:t>
      </w:r>
      <w:r w:rsidRPr="009E77FF">
        <w:rPr>
          <w:rFonts w:ascii="Noto Sans" w:eastAsia="Times New Roman" w:hAnsi="Noto Sans" w:cs="Noto Sans"/>
          <w:color w:val="000000"/>
          <w:sz w:val="20"/>
          <w:szCs w:val="20"/>
        </w:rPr>
        <w:t xml:space="preserve"> a través de los servicios de atención ambulatoria y hospitalaria de las</w:t>
      </w:r>
      <w:r w:rsidR="009E77FF">
        <w:rPr>
          <w:rFonts w:ascii="Noto Sans" w:eastAsia="Times New Roman" w:hAnsi="Noto Sans" w:cs="Noto Sans"/>
          <w:color w:val="000000"/>
          <w:sz w:val="20"/>
          <w:szCs w:val="20"/>
        </w:rPr>
        <w:t xml:space="preserve"> </w:t>
      </w:r>
      <w:r w:rsidR="003554F3" w:rsidRPr="009E77FF">
        <w:rPr>
          <w:rFonts w:ascii="Noto Sans" w:eastAsia="Times New Roman" w:hAnsi="Noto Sans" w:cs="Noto Sans"/>
          <w:color w:val="000000"/>
          <w:sz w:val="20"/>
          <w:szCs w:val="20"/>
        </w:rPr>
        <w:t>diferentes unidades de salud.</w:t>
      </w:r>
    </w:p>
    <w:p w:rsidR="003B662A" w:rsidRPr="009E77FF" w:rsidRDefault="00B94F3B" w:rsidP="003B662A">
      <w:pPr>
        <w:spacing w:before="120" w:after="120" w:line="276" w:lineRule="auto"/>
        <w:jc w:val="both"/>
        <w:rPr>
          <w:rFonts w:ascii="Noto Sans" w:hAnsi="Noto Sans" w:cs="Noto Sans"/>
          <w:sz w:val="20"/>
          <w:szCs w:val="20"/>
        </w:rPr>
      </w:pPr>
      <w:r w:rsidRPr="009E77FF">
        <w:rPr>
          <w:rFonts w:ascii="Noto Sans" w:hAnsi="Noto Sans" w:cs="Noto Sans"/>
          <w:sz w:val="20"/>
          <w:szCs w:val="20"/>
        </w:rPr>
        <w:t>Recordando nuestro problema central:</w:t>
      </w:r>
      <w:r w:rsidR="009E77FF">
        <w:rPr>
          <w:rFonts w:ascii="Noto Sans" w:hAnsi="Noto Sans" w:cs="Noto Sans"/>
          <w:sz w:val="20"/>
          <w:szCs w:val="20"/>
        </w:rPr>
        <w:t xml:space="preserve"> </w:t>
      </w:r>
      <w:r w:rsidRPr="009E77FF">
        <w:rPr>
          <w:rFonts w:ascii="Noto Sans" w:hAnsi="Noto Sans" w:cs="Noto Sans"/>
          <w:sz w:val="20"/>
          <w:szCs w:val="20"/>
        </w:rPr>
        <w:t>“La población sin seguridad social con padecimientos de especialidad y alta especialidad no accede efectivamente a la atención de salud” nos podemos encontrar con las siguientes alternativas:</w:t>
      </w:r>
    </w:p>
    <w:p w:rsidR="00B94F3B" w:rsidRPr="009E77FF" w:rsidRDefault="00B94F3B" w:rsidP="005E6276">
      <w:pPr>
        <w:pStyle w:val="Prrafodelista"/>
        <w:numPr>
          <w:ilvl w:val="0"/>
          <w:numId w:val="2"/>
        </w:numPr>
        <w:spacing w:before="120" w:after="120" w:line="276" w:lineRule="auto"/>
        <w:jc w:val="both"/>
        <w:rPr>
          <w:rFonts w:ascii="Noto Sans" w:hAnsi="Noto Sans" w:cs="Noto Sans"/>
          <w:i/>
          <w:iCs/>
          <w:sz w:val="20"/>
          <w:szCs w:val="20"/>
        </w:rPr>
      </w:pPr>
      <w:r w:rsidRPr="009E77FF">
        <w:rPr>
          <w:rFonts w:ascii="Noto Sans" w:hAnsi="Noto Sans" w:cs="Noto Sans"/>
          <w:i/>
          <w:iCs/>
          <w:sz w:val="20"/>
          <w:szCs w:val="20"/>
        </w:rPr>
        <w:t>Aumentar la atención para el diagnóstico temprano</w:t>
      </w:r>
      <w:r w:rsidR="00FD553F" w:rsidRPr="009E77FF">
        <w:rPr>
          <w:rFonts w:ascii="Noto Sans" w:hAnsi="Noto Sans" w:cs="Noto Sans"/>
          <w:i/>
          <w:iCs/>
          <w:sz w:val="20"/>
          <w:szCs w:val="20"/>
        </w:rPr>
        <w:t xml:space="preserve"> y generar campañas de prevención</w:t>
      </w:r>
      <w:r w:rsidRPr="009E77FF">
        <w:rPr>
          <w:rFonts w:ascii="Noto Sans" w:hAnsi="Noto Sans" w:cs="Noto Sans"/>
          <w:i/>
          <w:iCs/>
          <w:sz w:val="20"/>
          <w:szCs w:val="20"/>
        </w:rPr>
        <w:t>: esto disminuiría la cantidad de patologías complicadas dentro de la población, menor cantidad de años pérdidos, aumento en los años de vida útil y de productividad de los pacientes</w:t>
      </w:r>
      <w:r w:rsidR="006C2A78" w:rsidRPr="009E77FF">
        <w:rPr>
          <w:rFonts w:ascii="Noto Sans" w:hAnsi="Noto Sans" w:cs="Noto Sans"/>
          <w:i/>
          <w:iCs/>
          <w:sz w:val="20"/>
          <w:szCs w:val="20"/>
        </w:rPr>
        <w:t>.</w:t>
      </w:r>
      <w:r w:rsidRPr="009E77FF">
        <w:rPr>
          <w:rFonts w:ascii="Noto Sans" w:hAnsi="Noto Sans" w:cs="Noto Sans"/>
          <w:i/>
          <w:iCs/>
          <w:sz w:val="20"/>
          <w:szCs w:val="20"/>
        </w:rPr>
        <w:t>En el caso de patologías prevenibles, este tipo de campañas puede beneficiar a la población al generar la conciencia y disminuir la incidencia</w:t>
      </w:r>
      <w:r w:rsidR="006C2A78" w:rsidRPr="009E77FF">
        <w:rPr>
          <w:rFonts w:ascii="Noto Sans" w:hAnsi="Noto Sans" w:cs="Noto Sans"/>
          <w:i/>
          <w:iCs/>
          <w:sz w:val="20"/>
          <w:szCs w:val="20"/>
        </w:rPr>
        <w:t xml:space="preserve"> </w:t>
      </w:r>
      <w:r w:rsidRPr="009E77FF">
        <w:rPr>
          <w:rFonts w:ascii="Noto Sans" w:hAnsi="Noto Sans" w:cs="Noto Sans"/>
          <w:i/>
          <w:iCs/>
          <w:sz w:val="20"/>
          <w:szCs w:val="20"/>
        </w:rPr>
        <w:t>de este tipo de enfermedades</w:t>
      </w:r>
      <w:r w:rsidR="006C2A78" w:rsidRPr="009E77FF">
        <w:rPr>
          <w:rFonts w:ascii="Noto Sans" w:hAnsi="Noto Sans" w:cs="Noto Sans"/>
          <w:i/>
          <w:iCs/>
          <w:sz w:val="20"/>
          <w:szCs w:val="20"/>
        </w:rPr>
        <w:t>, al mismo tiempo que se disminuye el gasto en salud y disminuimos el gasto de bolsillo de las familias afectadas.</w:t>
      </w:r>
    </w:p>
    <w:p w:rsidR="00B94F3B" w:rsidRPr="009E77FF" w:rsidRDefault="006C2A78" w:rsidP="005E6276">
      <w:pPr>
        <w:pStyle w:val="Prrafodelista"/>
        <w:numPr>
          <w:ilvl w:val="0"/>
          <w:numId w:val="2"/>
        </w:numPr>
        <w:spacing w:before="120" w:after="120" w:line="276" w:lineRule="auto"/>
        <w:jc w:val="both"/>
        <w:rPr>
          <w:rFonts w:ascii="Noto Sans" w:hAnsi="Noto Sans" w:cs="Noto Sans"/>
          <w:i/>
          <w:iCs/>
          <w:sz w:val="20"/>
          <w:szCs w:val="20"/>
        </w:rPr>
      </w:pPr>
      <w:r w:rsidRPr="009E77FF">
        <w:rPr>
          <w:rFonts w:ascii="Noto Sans" w:hAnsi="Noto Sans" w:cs="Noto Sans"/>
          <w:i/>
          <w:iCs/>
          <w:sz w:val="20"/>
          <w:szCs w:val="20"/>
        </w:rPr>
        <w:t>Aumentar los servicios de atención ambulatoria y de atención hospitalaria de primer y segundo nivel de atención: la referencia oportuna entre los diferentes niveles de atención de los pacientes, permitiría que los pacientes fuesen tratados en el nivel de atención donde se obtengan mayores beneficios para ellos. De igual forma, esto desahogaría el tercer nivel de atención (especilidad y alta especialidad) de enfermedades que no se deberían de atender en este nivel.</w:t>
      </w:r>
    </w:p>
    <w:p w:rsidR="006C2A78" w:rsidRPr="009E77FF" w:rsidRDefault="003554F3" w:rsidP="005E6276">
      <w:pPr>
        <w:pStyle w:val="Prrafodelista"/>
        <w:numPr>
          <w:ilvl w:val="0"/>
          <w:numId w:val="2"/>
        </w:numPr>
        <w:spacing w:before="120" w:after="120" w:line="276" w:lineRule="auto"/>
        <w:jc w:val="both"/>
        <w:rPr>
          <w:rFonts w:ascii="Noto Sans" w:hAnsi="Noto Sans" w:cs="Noto Sans"/>
          <w:i/>
          <w:iCs/>
          <w:sz w:val="20"/>
          <w:szCs w:val="20"/>
        </w:rPr>
      </w:pPr>
      <w:r w:rsidRPr="009E77FF">
        <w:rPr>
          <w:rFonts w:ascii="Noto Sans" w:eastAsia="Times New Roman" w:hAnsi="Noto Sans" w:cs="Noto Sans"/>
          <w:color w:val="000000"/>
          <w:sz w:val="20"/>
          <w:szCs w:val="20"/>
        </w:rPr>
        <w:t>Incrementar el conocimiento acerca de los servicios</w:t>
      </w:r>
      <w:r w:rsidR="009E77FF">
        <w:rPr>
          <w:rFonts w:ascii="Noto Sans" w:eastAsia="Times New Roman" w:hAnsi="Noto Sans" w:cs="Noto Sans"/>
          <w:color w:val="000000"/>
          <w:sz w:val="20"/>
          <w:szCs w:val="20"/>
        </w:rPr>
        <w:t xml:space="preserve"> </w:t>
      </w:r>
      <w:r w:rsidRPr="009E77FF">
        <w:rPr>
          <w:rFonts w:ascii="Noto Sans" w:eastAsia="Times New Roman" w:hAnsi="Noto Sans" w:cs="Noto Sans"/>
          <w:color w:val="000000"/>
          <w:sz w:val="20"/>
          <w:szCs w:val="20"/>
        </w:rPr>
        <w:t>y mecanismos para la atención de especialidad por parte de la población</w:t>
      </w:r>
      <w:r w:rsidR="006C2A78" w:rsidRPr="009E77FF">
        <w:rPr>
          <w:rFonts w:ascii="Noto Sans" w:hAnsi="Noto Sans" w:cs="Noto Sans"/>
          <w:i/>
          <w:iCs/>
          <w:sz w:val="20"/>
          <w:szCs w:val="20"/>
        </w:rPr>
        <w:t xml:space="preserve">: mejorarían la satisfacción que tiene el paciente; </w:t>
      </w:r>
      <w:r w:rsidRPr="009E77FF">
        <w:rPr>
          <w:rFonts w:ascii="Noto Sans" w:hAnsi="Noto Sans" w:cs="Noto Sans"/>
          <w:i/>
          <w:iCs/>
          <w:sz w:val="20"/>
          <w:szCs w:val="20"/>
        </w:rPr>
        <w:t>al mismo tiempo que permitiría que los pacientes pudieran tener información que les permitiría llegar más pronto al sitio donde su atención sería más apropiada.</w:t>
      </w:r>
    </w:p>
    <w:p w:rsidR="006C2A78" w:rsidRDefault="003554F3" w:rsidP="005E6276">
      <w:pPr>
        <w:pStyle w:val="Prrafodelista"/>
        <w:numPr>
          <w:ilvl w:val="0"/>
          <w:numId w:val="2"/>
        </w:numPr>
        <w:spacing w:before="120" w:after="120" w:line="276" w:lineRule="auto"/>
        <w:jc w:val="both"/>
        <w:rPr>
          <w:rFonts w:ascii="Noto Sans" w:hAnsi="Noto Sans" w:cs="Noto Sans"/>
          <w:i/>
          <w:iCs/>
          <w:sz w:val="20"/>
          <w:szCs w:val="20"/>
        </w:rPr>
      </w:pPr>
      <w:r w:rsidRPr="009E77FF">
        <w:rPr>
          <w:rFonts w:ascii="Noto Sans" w:eastAsia="Times New Roman" w:hAnsi="Noto Sans" w:cs="Noto Sans"/>
          <w:color w:val="000000"/>
          <w:sz w:val="20"/>
          <w:szCs w:val="20"/>
        </w:rPr>
        <w:t>Incrementar la capacidad de las unidades de salud especializadas para responder a las necesidades de la población</w:t>
      </w:r>
      <w:r w:rsidR="006C2A78" w:rsidRPr="009E77FF">
        <w:rPr>
          <w:rFonts w:ascii="Noto Sans" w:hAnsi="Noto Sans" w:cs="Noto Sans"/>
          <w:i/>
          <w:iCs/>
          <w:sz w:val="20"/>
          <w:szCs w:val="20"/>
        </w:rPr>
        <w:t>: el fortalecimiento de los Hospitales de Alta Especialidad que se encuentran fuera de la Ciudad de México permitiría que las enfermedades de este nivel de atención que se presentan fuera de la Ciudad de México fueran atendidas de manera más rápida y oportuna.</w:t>
      </w:r>
    </w:p>
    <w:p w:rsidR="002324F1" w:rsidRPr="009E77FF" w:rsidRDefault="002324F1" w:rsidP="005E6276">
      <w:pPr>
        <w:pStyle w:val="Prrafodelista"/>
        <w:numPr>
          <w:ilvl w:val="0"/>
          <w:numId w:val="2"/>
        </w:numPr>
        <w:spacing w:before="120" w:after="120" w:line="276" w:lineRule="auto"/>
        <w:jc w:val="both"/>
        <w:rPr>
          <w:rFonts w:ascii="Noto Sans" w:hAnsi="Noto Sans" w:cs="Noto Sans"/>
          <w:i/>
          <w:iCs/>
          <w:sz w:val="20"/>
          <w:szCs w:val="20"/>
        </w:rPr>
      </w:pPr>
    </w:p>
    <w:p w:rsidR="006C2A78" w:rsidRPr="009E77FF" w:rsidRDefault="006C2A78" w:rsidP="006C2A78">
      <w:pPr>
        <w:spacing w:before="120" w:after="120" w:line="276" w:lineRule="auto"/>
        <w:ind w:left="360"/>
        <w:jc w:val="both"/>
        <w:rPr>
          <w:rFonts w:ascii="Noto Sans" w:hAnsi="Noto Sans" w:cs="Noto Sans"/>
          <w:i/>
          <w:iCs/>
          <w:sz w:val="20"/>
          <w:szCs w:val="20"/>
        </w:rPr>
      </w:pPr>
    </w:p>
    <w:p w:rsidR="006B5A19" w:rsidRPr="009E77FF" w:rsidRDefault="006B5A19" w:rsidP="006C2A78">
      <w:pPr>
        <w:spacing w:before="120" w:after="120" w:line="276" w:lineRule="auto"/>
        <w:ind w:left="360"/>
        <w:jc w:val="both"/>
        <w:rPr>
          <w:rFonts w:ascii="Noto Sans" w:hAnsi="Noto Sans" w:cs="Noto Sans"/>
          <w:i/>
          <w:iCs/>
          <w:sz w:val="20"/>
          <w:szCs w:val="20"/>
        </w:rPr>
        <w:sectPr w:rsidR="006B5A19" w:rsidRPr="009E77FF" w:rsidSect="00EE429C">
          <w:headerReference w:type="default" r:id="rId25"/>
          <w:type w:val="continuous"/>
          <w:pgSz w:w="12240" w:h="15840"/>
          <w:pgMar w:top="2126" w:right="1701" w:bottom="1134" w:left="1701" w:header="709" w:footer="709" w:gutter="0"/>
          <w:cols w:space="708"/>
          <w:docGrid w:linePitch="360"/>
        </w:sectPr>
      </w:pPr>
    </w:p>
    <w:tbl>
      <w:tblPr>
        <w:tblStyle w:val="Tabladecuadrcula5oscura-nfasis5"/>
        <w:tblW w:w="5179" w:type="pct"/>
        <w:tblLayout w:type="fixed"/>
        <w:tblLook w:val="04A0" w:firstRow="1" w:lastRow="0" w:firstColumn="1" w:lastColumn="0" w:noHBand="0" w:noVBand="1"/>
      </w:tblPr>
      <w:tblGrid>
        <w:gridCol w:w="1323"/>
        <w:gridCol w:w="2661"/>
        <w:gridCol w:w="2259"/>
        <w:gridCol w:w="2259"/>
        <w:gridCol w:w="2259"/>
        <w:gridCol w:w="2259"/>
      </w:tblGrid>
      <w:tr w:rsidR="009E77FF" w:rsidRPr="009E77FF" w:rsidTr="002324F1">
        <w:trPr>
          <w:cnfStyle w:val="100000000000" w:firstRow="1" w:lastRow="0" w:firstColumn="0" w:lastColumn="0" w:oddVBand="0" w:evenVBand="0" w:oddHBand="0" w:evenHBand="0" w:firstRowFirstColumn="0" w:firstRowLastColumn="0" w:lastRowFirstColumn="0" w:lastRowLastColumn="0"/>
          <w:trHeight w:val="82"/>
          <w:tblHeader/>
        </w:trPr>
        <w:tc>
          <w:tcPr>
            <w:cnfStyle w:val="001000000000" w:firstRow="0" w:lastRow="0" w:firstColumn="1" w:lastColumn="0" w:oddVBand="0" w:evenVBand="0" w:oddHBand="0" w:evenHBand="0" w:firstRowFirstColumn="0" w:firstRowLastColumn="0" w:lastRowFirstColumn="0" w:lastRowLastColumn="0"/>
            <w:tcW w:w="13020" w:type="dxa"/>
            <w:gridSpan w:val="6"/>
            <w:tcBorders>
              <w:bottom w:val="single" w:sz="4" w:space="0" w:color="FFFFFF"/>
            </w:tcBorders>
            <w:shd w:val="clear" w:color="auto" w:fill="auto"/>
            <w:vAlign w:val="center"/>
          </w:tcPr>
          <w:p w:rsidR="009E77FF" w:rsidRPr="009E77FF" w:rsidRDefault="009E77FF" w:rsidP="009E77FF">
            <w:pPr>
              <w:jc w:val="center"/>
              <w:rPr>
                <w:rFonts w:ascii="Noto Sans" w:hAnsi="Noto Sans" w:cs="Noto Sans"/>
                <w:sz w:val="22"/>
                <w:szCs w:val="16"/>
              </w:rPr>
            </w:pPr>
            <w:r w:rsidRPr="009E77FF">
              <w:rPr>
                <w:rFonts w:ascii="Noto Sans" w:hAnsi="Noto Sans" w:cs="Noto Sans"/>
                <w:color w:val="auto"/>
                <w:sz w:val="22"/>
                <w:szCs w:val="16"/>
              </w:rPr>
              <w:lastRenderedPageBreak/>
              <w:t>Matriz de alternativas</w:t>
            </w:r>
          </w:p>
        </w:tc>
      </w:tr>
      <w:tr w:rsidR="006B5A19" w:rsidRPr="009E77FF" w:rsidTr="009E77FF">
        <w:trPr>
          <w:cnfStyle w:val="100000000000" w:firstRow="1" w:lastRow="0" w:firstColumn="0" w:lastColumn="0" w:oddVBand="0" w:evenVBand="0" w:oddHBand="0" w:evenHBand="0" w:firstRowFirstColumn="0" w:firstRowLastColumn="0" w:lastRowFirstColumn="0" w:lastRowLastColumn="0"/>
          <w:trHeight w:val="82"/>
          <w:tblHeader/>
        </w:trPr>
        <w:tc>
          <w:tcPr>
            <w:cnfStyle w:val="001000000000" w:firstRow="0" w:lastRow="0" w:firstColumn="1" w:lastColumn="0" w:oddVBand="0" w:evenVBand="0" w:oddHBand="0" w:evenHBand="0" w:firstRowFirstColumn="0" w:firstRowLastColumn="0" w:lastRowFirstColumn="0" w:lastRowLastColumn="0"/>
            <w:tcW w:w="3984" w:type="dxa"/>
            <w:gridSpan w:val="2"/>
            <w:tcBorders>
              <w:bottom w:val="single" w:sz="4" w:space="0" w:color="FFFFFF"/>
              <w:right w:val="single" w:sz="4" w:space="0" w:color="FFFFFF"/>
            </w:tcBorders>
            <w:shd w:val="clear" w:color="auto" w:fill="1E5B4F"/>
            <w:vAlign w:val="center"/>
          </w:tcPr>
          <w:p w:rsidR="003554F3" w:rsidRPr="009E77FF" w:rsidRDefault="003554F3" w:rsidP="009E77FF">
            <w:pPr>
              <w:jc w:val="center"/>
              <w:rPr>
                <w:rFonts w:ascii="Noto Sans" w:hAnsi="Noto Sans" w:cs="Noto Sans"/>
                <w:sz w:val="16"/>
                <w:szCs w:val="16"/>
              </w:rPr>
            </w:pPr>
            <w:r w:rsidRPr="009E77FF">
              <w:rPr>
                <w:rFonts w:ascii="Noto Sans" w:hAnsi="Noto Sans" w:cs="Noto Sans"/>
                <w:sz w:val="16"/>
                <w:szCs w:val="16"/>
              </w:rPr>
              <w:t>Criterios de valoración</w:t>
            </w:r>
          </w:p>
        </w:tc>
        <w:tc>
          <w:tcPr>
            <w:tcW w:w="2259" w:type="dxa"/>
            <w:tcBorders>
              <w:left w:val="single" w:sz="4" w:space="0" w:color="FFFFFF"/>
              <w:bottom w:val="single" w:sz="4" w:space="0" w:color="FFFFFF"/>
              <w:right w:val="single" w:sz="4" w:space="0" w:color="FFFFFF"/>
            </w:tcBorders>
            <w:shd w:val="clear" w:color="auto" w:fill="1E5B4F"/>
            <w:vAlign w:val="center"/>
          </w:tcPr>
          <w:p w:rsidR="003554F3" w:rsidRPr="009E77FF" w:rsidRDefault="003554F3" w:rsidP="009E77FF">
            <w:pPr>
              <w:jc w:val="both"/>
              <w:cnfStyle w:val="100000000000" w:firstRow="1"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Alternativa 1:</w:t>
            </w:r>
          </w:p>
          <w:p w:rsidR="003554F3" w:rsidRPr="009E77FF" w:rsidRDefault="003554F3" w:rsidP="009E77FF">
            <w:pPr>
              <w:jc w:val="both"/>
              <w:cnfStyle w:val="100000000000" w:firstRow="1"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i/>
                <w:iCs/>
                <w:sz w:val="16"/>
                <w:szCs w:val="16"/>
              </w:rPr>
              <w:t>Aumentar la atención para el diagnóstico temprano y generar campañas de prevención</w:t>
            </w:r>
          </w:p>
        </w:tc>
        <w:tc>
          <w:tcPr>
            <w:tcW w:w="2259" w:type="dxa"/>
            <w:tcBorders>
              <w:left w:val="single" w:sz="4" w:space="0" w:color="FFFFFF"/>
              <w:bottom w:val="single" w:sz="4" w:space="0" w:color="FFFFFF"/>
              <w:right w:val="single" w:sz="4" w:space="0" w:color="FFFFFF"/>
            </w:tcBorders>
            <w:shd w:val="clear" w:color="auto" w:fill="1E5B4F"/>
            <w:vAlign w:val="center"/>
          </w:tcPr>
          <w:p w:rsidR="003554F3" w:rsidRPr="009E77FF" w:rsidRDefault="003554F3" w:rsidP="009E77FF">
            <w:pPr>
              <w:jc w:val="both"/>
              <w:cnfStyle w:val="100000000000" w:firstRow="1"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Alternativa 2:</w:t>
            </w:r>
          </w:p>
          <w:p w:rsidR="003554F3" w:rsidRPr="009E77FF" w:rsidRDefault="003554F3" w:rsidP="009E77FF">
            <w:pPr>
              <w:jc w:val="both"/>
              <w:cnfStyle w:val="100000000000" w:firstRow="1"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i/>
                <w:iCs/>
                <w:sz w:val="16"/>
                <w:szCs w:val="16"/>
              </w:rPr>
              <w:t>Aumentar los servicios de atención ambulatoria y de atención hospitalaria de primer y segundo nivel de atención</w:t>
            </w:r>
          </w:p>
        </w:tc>
        <w:tc>
          <w:tcPr>
            <w:tcW w:w="2259" w:type="dxa"/>
            <w:tcBorders>
              <w:left w:val="single" w:sz="4" w:space="0" w:color="FFFFFF"/>
              <w:bottom w:val="single" w:sz="4" w:space="0" w:color="FFFFFF"/>
            </w:tcBorders>
            <w:shd w:val="clear" w:color="auto" w:fill="1E5B4F"/>
            <w:vAlign w:val="center"/>
          </w:tcPr>
          <w:p w:rsidR="003554F3" w:rsidRPr="009E77FF" w:rsidRDefault="003554F3" w:rsidP="009E77FF">
            <w:pPr>
              <w:jc w:val="both"/>
              <w:cnfStyle w:val="100000000000" w:firstRow="1"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Alternativa 3:</w:t>
            </w:r>
          </w:p>
          <w:p w:rsidR="003554F3" w:rsidRPr="009E77FF" w:rsidRDefault="003554F3" w:rsidP="009E77FF">
            <w:pPr>
              <w:jc w:val="both"/>
              <w:cnfStyle w:val="100000000000" w:firstRow="1"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eastAsia="Times New Roman" w:hAnsi="Noto Sans" w:cs="Noto Sans"/>
                <w:sz w:val="16"/>
                <w:szCs w:val="16"/>
              </w:rPr>
              <w:t>Incrementar el conocimiento acerca de los servicios</w:t>
            </w:r>
            <w:r w:rsidR="009E77FF">
              <w:rPr>
                <w:rFonts w:ascii="Noto Sans" w:eastAsia="Times New Roman" w:hAnsi="Noto Sans" w:cs="Noto Sans"/>
                <w:sz w:val="16"/>
                <w:szCs w:val="16"/>
              </w:rPr>
              <w:t xml:space="preserve"> </w:t>
            </w:r>
            <w:r w:rsidRPr="009E77FF">
              <w:rPr>
                <w:rFonts w:ascii="Noto Sans" w:eastAsia="Times New Roman" w:hAnsi="Noto Sans" w:cs="Noto Sans"/>
                <w:sz w:val="16"/>
                <w:szCs w:val="16"/>
              </w:rPr>
              <w:t>y mecanismos para la atención de especialidad por parte de la población</w:t>
            </w:r>
          </w:p>
        </w:tc>
        <w:tc>
          <w:tcPr>
            <w:tcW w:w="2259" w:type="dxa"/>
            <w:tcBorders>
              <w:left w:val="single" w:sz="4" w:space="0" w:color="FFFFFF"/>
              <w:bottom w:val="single" w:sz="4" w:space="0" w:color="FFFFFF"/>
            </w:tcBorders>
            <w:shd w:val="clear" w:color="auto" w:fill="1E5B4F"/>
            <w:vAlign w:val="center"/>
          </w:tcPr>
          <w:p w:rsidR="003554F3" w:rsidRPr="009E77FF" w:rsidRDefault="003554F3" w:rsidP="009E77FF">
            <w:pPr>
              <w:jc w:val="both"/>
              <w:cnfStyle w:val="100000000000" w:firstRow="1"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Alternativa 4:</w:t>
            </w:r>
          </w:p>
          <w:p w:rsidR="003554F3" w:rsidRPr="009E77FF" w:rsidRDefault="003554F3" w:rsidP="009E77FF">
            <w:pPr>
              <w:jc w:val="both"/>
              <w:cnfStyle w:val="100000000000" w:firstRow="1"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eastAsia="Times New Roman" w:hAnsi="Noto Sans" w:cs="Noto Sans"/>
                <w:sz w:val="16"/>
                <w:szCs w:val="16"/>
              </w:rPr>
              <w:t>Incrementar la capacidad de las unidades de salud especializadas para responder a las necesidades de la población</w:t>
            </w:r>
          </w:p>
        </w:tc>
      </w:tr>
      <w:tr w:rsidR="006B5A19" w:rsidRPr="009E77FF" w:rsidTr="009E77FF">
        <w:trPr>
          <w:cnfStyle w:val="000000100000" w:firstRow="0" w:lastRow="0" w:firstColumn="0" w:lastColumn="0" w:oddVBand="0" w:evenVBand="0" w:oddHBand="1" w:evenHBand="0" w:firstRowFirstColumn="0" w:firstRowLastColumn="0" w:lastRowFirstColumn="0" w:lastRowLastColumn="0"/>
          <w:trHeight w:val="82"/>
        </w:trPr>
        <w:tc>
          <w:tcPr>
            <w:cnfStyle w:val="001000000000" w:firstRow="0" w:lastRow="0" w:firstColumn="1" w:lastColumn="0" w:oddVBand="0" w:evenVBand="0" w:oddHBand="0" w:evenHBand="0" w:firstRowFirstColumn="0" w:firstRowLastColumn="0" w:lastRowFirstColumn="0" w:lastRowLastColumn="0"/>
            <w:tcW w:w="1323" w:type="dxa"/>
            <w:vMerge w:val="restart"/>
            <w:tcBorders>
              <w:top w:val="single" w:sz="4" w:space="0" w:color="FFFFFF"/>
            </w:tcBorders>
            <w:shd w:val="clear" w:color="auto" w:fill="1E5B4F"/>
            <w:vAlign w:val="center"/>
          </w:tcPr>
          <w:p w:rsidR="003554F3" w:rsidRPr="009E77FF" w:rsidRDefault="003554F3" w:rsidP="006F7F21">
            <w:pPr>
              <w:jc w:val="center"/>
              <w:rPr>
                <w:rFonts w:ascii="Noto Sans" w:hAnsi="Noto Sans" w:cs="Noto Sans"/>
                <w:sz w:val="16"/>
                <w:szCs w:val="16"/>
              </w:rPr>
            </w:pPr>
            <w:r w:rsidRPr="009E77FF">
              <w:rPr>
                <w:rFonts w:ascii="Noto Sans" w:hAnsi="Noto Sans" w:cs="Noto Sans"/>
                <w:sz w:val="16"/>
                <w:szCs w:val="16"/>
              </w:rPr>
              <w:t>Nivel de incidencia</w:t>
            </w:r>
          </w:p>
        </w:tc>
        <w:tc>
          <w:tcPr>
            <w:tcW w:w="2661" w:type="dxa"/>
            <w:tcBorders>
              <w:top w:val="single" w:sz="4" w:space="0" w:color="FFFFFF"/>
            </w:tcBorders>
            <w:shd w:val="clear" w:color="auto" w:fill="C6ECE5"/>
            <w:vAlign w:val="center"/>
          </w:tcPr>
          <w:p w:rsidR="003554F3" w:rsidRPr="009E77FF" w:rsidRDefault="003554F3" w:rsidP="009E77FF">
            <w:pPr>
              <w:jc w:val="both"/>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eastAsia="Calibri" w:hAnsi="Noto Sans" w:cs="Noto Sans"/>
                <w:color w:val="000000" w:themeColor="text1"/>
                <w:sz w:val="16"/>
                <w:szCs w:val="16"/>
              </w:rPr>
              <w:t>Mayor efecto esperado en el cumplimiento del objetivo central</w:t>
            </w:r>
          </w:p>
        </w:tc>
        <w:tc>
          <w:tcPr>
            <w:tcW w:w="2259" w:type="dxa"/>
            <w:tcBorders>
              <w:top w:val="single" w:sz="4" w:space="0" w:color="FFFFFF"/>
            </w:tcBorders>
            <w:shd w:val="clear" w:color="auto" w:fill="C6ECE5"/>
            <w:vAlign w:val="center"/>
          </w:tcPr>
          <w:p w:rsidR="003554F3" w:rsidRPr="009E77FF"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3</w:t>
            </w:r>
          </w:p>
        </w:tc>
        <w:tc>
          <w:tcPr>
            <w:tcW w:w="2259" w:type="dxa"/>
            <w:tcBorders>
              <w:top w:val="single" w:sz="4" w:space="0" w:color="FFFFFF"/>
            </w:tcBorders>
            <w:shd w:val="clear" w:color="auto" w:fill="C6ECE5"/>
            <w:vAlign w:val="center"/>
          </w:tcPr>
          <w:p w:rsidR="003554F3" w:rsidRPr="009E77FF"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4</w:t>
            </w:r>
          </w:p>
        </w:tc>
        <w:tc>
          <w:tcPr>
            <w:tcW w:w="2259" w:type="dxa"/>
            <w:tcBorders>
              <w:top w:val="single" w:sz="4" w:space="0" w:color="FFFFFF"/>
            </w:tcBorders>
            <w:shd w:val="clear" w:color="auto" w:fill="C6ECE5"/>
            <w:vAlign w:val="center"/>
          </w:tcPr>
          <w:p w:rsidR="003554F3" w:rsidRPr="009E77FF"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1</w:t>
            </w:r>
          </w:p>
        </w:tc>
        <w:tc>
          <w:tcPr>
            <w:tcW w:w="2259" w:type="dxa"/>
            <w:tcBorders>
              <w:top w:val="single" w:sz="4" w:space="0" w:color="FFFFFF"/>
            </w:tcBorders>
            <w:shd w:val="clear" w:color="auto" w:fill="C6ECE5"/>
            <w:vAlign w:val="center"/>
          </w:tcPr>
          <w:p w:rsidR="003554F3" w:rsidRPr="009E77FF"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2</w:t>
            </w:r>
          </w:p>
        </w:tc>
      </w:tr>
      <w:tr w:rsidR="006B5A19" w:rsidRPr="009E77FF" w:rsidTr="009E77FF">
        <w:trPr>
          <w:trHeight w:val="82"/>
        </w:trPr>
        <w:tc>
          <w:tcPr>
            <w:cnfStyle w:val="001000000000" w:firstRow="0" w:lastRow="0" w:firstColumn="1" w:lastColumn="0" w:oddVBand="0" w:evenVBand="0" w:oddHBand="0" w:evenHBand="0" w:firstRowFirstColumn="0" w:firstRowLastColumn="0" w:lastRowFirstColumn="0" w:lastRowLastColumn="0"/>
            <w:tcW w:w="1323" w:type="dxa"/>
            <w:vMerge/>
            <w:shd w:val="clear" w:color="auto" w:fill="1E5B4F"/>
            <w:vAlign w:val="center"/>
          </w:tcPr>
          <w:p w:rsidR="003554F3" w:rsidRPr="009E77FF" w:rsidRDefault="003554F3" w:rsidP="006F7F21">
            <w:pPr>
              <w:jc w:val="center"/>
              <w:rPr>
                <w:rFonts w:ascii="Noto Sans" w:hAnsi="Noto Sans" w:cs="Noto Sans"/>
                <w:sz w:val="16"/>
                <w:szCs w:val="16"/>
              </w:rPr>
            </w:pPr>
          </w:p>
        </w:tc>
        <w:tc>
          <w:tcPr>
            <w:tcW w:w="2661" w:type="dxa"/>
            <w:tcBorders>
              <w:top w:val="single" w:sz="4" w:space="0" w:color="FFFFFF"/>
            </w:tcBorders>
            <w:shd w:val="clear" w:color="auto" w:fill="F2F2F2" w:themeFill="background1" w:themeFillShade="F2"/>
            <w:vAlign w:val="center"/>
          </w:tcPr>
          <w:p w:rsidR="003554F3" w:rsidRPr="009E77FF" w:rsidRDefault="003554F3" w:rsidP="009E77FF">
            <w:pPr>
              <w:jc w:val="both"/>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eastAsia="Calibri" w:hAnsi="Noto Sans" w:cs="Noto Sans"/>
                <w:color w:val="000000" w:themeColor="text1"/>
                <w:sz w:val="16"/>
                <w:szCs w:val="16"/>
              </w:rPr>
              <w:t>Mayor aceptación de la alternativa por parte de la población afectada</w:t>
            </w:r>
          </w:p>
        </w:tc>
        <w:tc>
          <w:tcPr>
            <w:tcW w:w="2259" w:type="dxa"/>
            <w:tcBorders>
              <w:top w:val="single" w:sz="4" w:space="0" w:color="FFFFFF"/>
            </w:tcBorders>
            <w:shd w:val="clear" w:color="auto" w:fill="F2F2F2" w:themeFill="background1" w:themeFillShade="F2"/>
            <w:vAlign w:val="center"/>
          </w:tcPr>
          <w:p w:rsidR="003554F3" w:rsidRPr="009E77FF" w:rsidRDefault="00306760"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1</w:t>
            </w:r>
          </w:p>
        </w:tc>
        <w:tc>
          <w:tcPr>
            <w:tcW w:w="2259" w:type="dxa"/>
            <w:tcBorders>
              <w:top w:val="single" w:sz="4" w:space="0" w:color="FFFFFF"/>
            </w:tcBorders>
            <w:shd w:val="clear" w:color="auto" w:fill="F2F2F2" w:themeFill="background1" w:themeFillShade="F2"/>
            <w:vAlign w:val="center"/>
          </w:tcPr>
          <w:p w:rsidR="003554F3" w:rsidRPr="009E77FF" w:rsidRDefault="00306760"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2</w:t>
            </w:r>
          </w:p>
        </w:tc>
        <w:tc>
          <w:tcPr>
            <w:tcW w:w="2259" w:type="dxa"/>
            <w:tcBorders>
              <w:top w:val="single" w:sz="4" w:space="0" w:color="FFFFFF"/>
            </w:tcBorders>
            <w:shd w:val="clear" w:color="auto" w:fill="F2F2F2" w:themeFill="background1" w:themeFillShade="F2"/>
            <w:vAlign w:val="center"/>
          </w:tcPr>
          <w:p w:rsidR="003554F3" w:rsidRPr="009E77FF" w:rsidRDefault="00306760"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3</w:t>
            </w:r>
          </w:p>
        </w:tc>
        <w:tc>
          <w:tcPr>
            <w:tcW w:w="2259" w:type="dxa"/>
            <w:tcBorders>
              <w:top w:val="single" w:sz="4" w:space="0" w:color="FFFFFF"/>
            </w:tcBorders>
            <w:shd w:val="clear" w:color="auto" w:fill="F2F2F2" w:themeFill="background1" w:themeFillShade="F2"/>
            <w:vAlign w:val="center"/>
          </w:tcPr>
          <w:p w:rsidR="003554F3" w:rsidRPr="009E77FF" w:rsidRDefault="00306760"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4</w:t>
            </w:r>
          </w:p>
        </w:tc>
      </w:tr>
      <w:tr w:rsidR="006B5A19" w:rsidRPr="009E77FF" w:rsidTr="009E77FF">
        <w:trPr>
          <w:cnfStyle w:val="000000100000" w:firstRow="0" w:lastRow="0" w:firstColumn="0" w:lastColumn="0" w:oddVBand="0" w:evenVBand="0" w:oddHBand="1" w:evenHBand="0" w:firstRowFirstColumn="0" w:firstRowLastColumn="0" w:lastRowFirstColumn="0" w:lastRowLastColumn="0"/>
          <w:trHeight w:val="82"/>
        </w:trPr>
        <w:tc>
          <w:tcPr>
            <w:cnfStyle w:val="001000000000" w:firstRow="0" w:lastRow="0" w:firstColumn="1" w:lastColumn="0" w:oddVBand="0" w:evenVBand="0" w:oddHBand="0" w:evenHBand="0" w:firstRowFirstColumn="0" w:firstRowLastColumn="0" w:lastRowFirstColumn="0" w:lastRowLastColumn="0"/>
            <w:tcW w:w="1323" w:type="dxa"/>
            <w:vMerge w:val="restart"/>
            <w:tcBorders>
              <w:top w:val="single" w:sz="4" w:space="0" w:color="FFFFFF"/>
            </w:tcBorders>
            <w:shd w:val="clear" w:color="auto" w:fill="1E5B4F"/>
            <w:vAlign w:val="center"/>
          </w:tcPr>
          <w:p w:rsidR="003554F3" w:rsidRPr="009E77FF" w:rsidRDefault="003554F3" w:rsidP="006F7F21">
            <w:pPr>
              <w:jc w:val="center"/>
              <w:rPr>
                <w:rFonts w:ascii="Noto Sans" w:hAnsi="Noto Sans" w:cs="Noto Sans"/>
                <w:sz w:val="16"/>
                <w:szCs w:val="16"/>
              </w:rPr>
            </w:pPr>
            <w:r w:rsidRPr="009E77FF">
              <w:rPr>
                <w:rFonts w:ascii="Noto Sans" w:hAnsi="Noto Sans" w:cs="Noto Sans"/>
                <w:sz w:val="16"/>
                <w:szCs w:val="16"/>
              </w:rPr>
              <w:t>Factibilidad</w:t>
            </w:r>
          </w:p>
        </w:tc>
        <w:tc>
          <w:tcPr>
            <w:tcW w:w="2661" w:type="dxa"/>
            <w:tcBorders>
              <w:top w:val="single" w:sz="4" w:space="0" w:color="FFFFFF"/>
            </w:tcBorders>
            <w:shd w:val="clear" w:color="auto" w:fill="C6ECE5"/>
            <w:vAlign w:val="center"/>
          </w:tcPr>
          <w:p w:rsidR="003554F3" w:rsidRPr="009E77FF" w:rsidRDefault="003554F3" w:rsidP="009E77FF">
            <w:pPr>
              <w:jc w:val="both"/>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eastAsia="Calibri" w:hAnsi="Noto Sans" w:cs="Noto Sans"/>
                <w:color w:val="000000" w:themeColor="text1"/>
                <w:sz w:val="16"/>
                <w:szCs w:val="16"/>
              </w:rPr>
              <w:t>Menor costo de implementación</w:t>
            </w:r>
          </w:p>
        </w:tc>
        <w:tc>
          <w:tcPr>
            <w:tcW w:w="2259" w:type="dxa"/>
            <w:tcBorders>
              <w:top w:val="single" w:sz="4" w:space="0" w:color="FFFFFF"/>
            </w:tcBorders>
            <w:shd w:val="clear" w:color="auto" w:fill="C6ECE5"/>
            <w:vAlign w:val="center"/>
          </w:tcPr>
          <w:p w:rsidR="003554F3" w:rsidRPr="009E77FF"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4</w:t>
            </w:r>
          </w:p>
        </w:tc>
        <w:tc>
          <w:tcPr>
            <w:tcW w:w="2259" w:type="dxa"/>
            <w:tcBorders>
              <w:top w:val="single" w:sz="4" w:space="0" w:color="FFFFFF"/>
            </w:tcBorders>
            <w:shd w:val="clear" w:color="auto" w:fill="C6ECE5"/>
            <w:vAlign w:val="center"/>
          </w:tcPr>
          <w:p w:rsidR="003554F3" w:rsidRPr="009E77FF"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3</w:t>
            </w:r>
          </w:p>
        </w:tc>
        <w:tc>
          <w:tcPr>
            <w:tcW w:w="2259" w:type="dxa"/>
            <w:tcBorders>
              <w:top w:val="single" w:sz="4" w:space="0" w:color="FFFFFF"/>
            </w:tcBorders>
            <w:shd w:val="clear" w:color="auto" w:fill="C6ECE5"/>
            <w:vAlign w:val="center"/>
          </w:tcPr>
          <w:p w:rsidR="003554F3" w:rsidRPr="009E77FF"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2</w:t>
            </w:r>
          </w:p>
        </w:tc>
        <w:tc>
          <w:tcPr>
            <w:tcW w:w="2259" w:type="dxa"/>
            <w:tcBorders>
              <w:top w:val="single" w:sz="4" w:space="0" w:color="FFFFFF"/>
            </w:tcBorders>
            <w:shd w:val="clear" w:color="auto" w:fill="C6ECE5"/>
            <w:vAlign w:val="center"/>
          </w:tcPr>
          <w:p w:rsidR="003554F3" w:rsidRPr="009E77FF"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1</w:t>
            </w:r>
          </w:p>
        </w:tc>
      </w:tr>
      <w:tr w:rsidR="006B5A19" w:rsidRPr="009E77FF" w:rsidTr="009E77FF">
        <w:trPr>
          <w:trHeight w:val="82"/>
        </w:trPr>
        <w:tc>
          <w:tcPr>
            <w:cnfStyle w:val="001000000000" w:firstRow="0" w:lastRow="0" w:firstColumn="1" w:lastColumn="0" w:oddVBand="0" w:evenVBand="0" w:oddHBand="0" w:evenHBand="0" w:firstRowFirstColumn="0" w:firstRowLastColumn="0" w:lastRowFirstColumn="0" w:lastRowLastColumn="0"/>
            <w:tcW w:w="1323" w:type="dxa"/>
            <w:vMerge/>
            <w:shd w:val="clear" w:color="auto" w:fill="1E5B4F"/>
            <w:vAlign w:val="center"/>
          </w:tcPr>
          <w:p w:rsidR="003554F3" w:rsidRPr="009E77FF" w:rsidRDefault="003554F3" w:rsidP="006F7F21">
            <w:pPr>
              <w:jc w:val="center"/>
              <w:rPr>
                <w:rFonts w:ascii="Noto Sans" w:hAnsi="Noto Sans" w:cs="Noto Sans"/>
                <w:sz w:val="16"/>
                <w:szCs w:val="16"/>
              </w:rPr>
            </w:pPr>
          </w:p>
        </w:tc>
        <w:tc>
          <w:tcPr>
            <w:tcW w:w="2661" w:type="dxa"/>
            <w:tcBorders>
              <w:top w:val="single" w:sz="4" w:space="0" w:color="FFFFFF"/>
            </w:tcBorders>
            <w:shd w:val="clear" w:color="auto" w:fill="F2F2F2" w:themeFill="background1" w:themeFillShade="F2"/>
            <w:vAlign w:val="center"/>
          </w:tcPr>
          <w:p w:rsidR="003554F3" w:rsidRPr="009E77FF" w:rsidRDefault="003554F3" w:rsidP="009E77FF">
            <w:pPr>
              <w:jc w:val="both"/>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eastAsia="Calibri" w:hAnsi="Noto Sans" w:cs="Noto Sans"/>
                <w:color w:val="000000" w:themeColor="text1"/>
                <w:sz w:val="16"/>
                <w:szCs w:val="16"/>
              </w:rPr>
              <w:t>Mayor financiamiento disponible</w:t>
            </w:r>
          </w:p>
        </w:tc>
        <w:tc>
          <w:tcPr>
            <w:tcW w:w="2259" w:type="dxa"/>
            <w:tcBorders>
              <w:top w:val="single" w:sz="4" w:space="0" w:color="FFFFFF"/>
            </w:tcBorders>
            <w:shd w:val="clear" w:color="auto" w:fill="F2F2F2" w:themeFill="background1" w:themeFillShade="F2"/>
            <w:vAlign w:val="center"/>
          </w:tcPr>
          <w:p w:rsidR="003554F3" w:rsidRPr="009E77FF" w:rsidRDefault="00306760"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3</w:t>
            </w:r>
          </w:p>
        </w:tc>
        <w:tc>
          <w:tcPr>
            <w:tcW w:w="2259" w:type="dxa"/>
            <w:tcBorders>
              <w:top w:val="single" w:sz="4" w:space="0" w:color="FFFFFF"/>
            </w:tcBorders>
            <w:shd w:val="clear" w:color="auto" w:fill="F2F2F2" w:themeFill="background1" w:themeFillShade="F2"/>
            <w:vAlign w:val="center"/>
          </w:tcPr>
          <w:p w:rsidR="003554F3" w:rsidRPr="009E77FF" w:rsidRDefault="00306760"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4</w:t>
            </w:r>
          </w:p>
        </w:tc>
        <w:tc>
          <w:tcPr>
            <w:tcW w:w="2259" w:type="dxa"/>
            <w:tcBorders>
              <w:top w:val="single" w:sz="4" w:space="0" w:color="FFFFFF"/>
            </w:tcBorders>
            <w:shd w:val="clear" w:color="auto" w:fill="F2F2F2" w:themeFill="background1" w:themeFillShade="F2"/>
            <w:vAlign w:val="center"/>
          </w:tcPr>
          <w:p w:rsidR="003554F3" w:rsidRPr="009E77FF" w:rsidRDefault="00306760"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2</w:t>
            </w:r>
          </w:p>
        </w:tc>
        <w:tc>
          <w:tcPr>
            <w:tcW w:w="2259" w:type="dxa"/>
            <w:tcBorders>
              <w:top w:val="single" w:sz="4" w:space="0" w:color="FFFFFF"/>
            </w:tcBorders>
            <w:shd w:val="clear" w:color="auto" w:fill="F2F2F2" w:themeFill="background1" w:themeFillShade="F2"/>
            <w:vAlign w:val="center"/>
          </w:tcPr>
          <w:p w:rsidR="003554F3" w:rsidRPr="009E77FF" w:rsidRDefault="00306760"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1</w:t>
            </w:r>
          </w:p>
        </w:tc>
      </w:tr>
      <w:tr w:rsidR="006B5A19" w:rsidRPr="009E77FF" w:rsidTr="009E77FF">
        <w:trPr>
          <w:cnfStyle w:val="000000100000" w:firstRow="0" w:lastRow="0" w:firstColumn="0" w:lastColumn="0" w:oddVBand="0" w:evenVBand="0" w:oddHBand="1" w:evenHBand="0" w:firstRowFirstColumn="0" w:firstRowLastColumn="0" w:lastRowFirstColumn="0" w:lastRowLastColumn="0"/>
          <w:trHeight w:val="82"/>
        </w:trPr>
        <w:tc>
          <w:tcPr>
            <w:cnfStyle w:val="001000000000" w:firstRow="0" w:lastRow="0" w:firstColumn="1" w:lastColumn="0" w:oddVBand="0" w:evenVBand="0" w:oddHBand="0" w:evenHBand="0" w:firstRowFirstColumn="0" w:firstRowLastColumn="0" w:lastRowFirstColumn="0" w:lastRowLastColumn="0"/>
            <w:tcW w:w="1323" w:type="dxa"/>
            <w:vMerge/>
            <w:shd w:val="clear" w:color="auto" w:fill="1E5B4F"/>
            <w:vAlign w:val="center"/>
          </w:tcPr>
          <w:p w:rsidR="003554F3" w:rsidRPr="009E77FF" w:rsidRDefault="003554F3" w:rsidP="006F7F21">
            <w:pPr>
              <w:jc w:val="center"/>
              <w:rPr>
                <w:rFonts w:ascii="Noto Sans" w:hAnsi="Noto Sans" w:cs="Noto Sans"/>
                <w:sz w:val="16"/>
                <w:szCs w:val="16"/>
              </w:rPr>
            </w:pPr>
          </w:p>
        </w:tc>
        <w:tc>
          <w:tcPr>
            <w:tcW w:w="2661" w:type="dxa"/>
            <w:tcBorders>
              <w:top w:val="single" w:sz="4" w:space="0" w:color="FFFFFF"/>
            </w:tcBorders>
            <w:shd w:val="clear" w:color="auto" w:fill="C6ECE5"/>
            <w:vAlign w:val="center"/>
          </w:tcPr>
          <w:p w:rsidR="003554F3" w:rsidRPr="009E77FF" w:rsidRDefault="003554F3" w:rsidP="009E77FF">
            <w:pPr>
              <w:jc w:val="both"/>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eastAsia="Calibri" w:hAnsi="Noto Sans" w:cs="Noto Sans"/>
                <w:color w:val="000000" w:themeColor="text1"/>
                <w:sz w:val="16"/>
                <w:szCs w:val="16"/>
              </w:rPr>
              <w:t>Menor tiempo para obtener resultados</w:t>
            </w:r>
          </w:p>
        </w:tc>
        <w:tc>
          <w:tcPr>
            <w:tcW w:w="2259" w:type="dxa"/>
            <w:tcBorders>
              <w:top w:val="single" w:sz="4" w:space="0" w:color="FFFFFF"/>
            </w:tcBorders>
            <w:shd w:val="clear" w:color="auto" w:fill="C6ECE5"/>
            <w:vAlign w:val="center"/>
          </w:tcPr>
          <w:p w:rsidR="003554F3" w:rsidRPr="009E77FF"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3</w:t>
            </w:r>
          </w:p>
        </w:tc>
        <w:tc>
          <w:tcPr>
            <w:tcW w:w="2259" w:type="dxa"/>
            <w:tcBorders>
              <w:top w:val="single" w:sz="4" w:space="0" w:color="FFFFFF"/>
            </w:tcBorders>
            <w:shd w:val="clear" w:color="auto" w:fill="C6ECE5"/>
            <w:vAlign w:val="center"/>
          </w:tcPr>
          <w:p w:rsidR="003554F3" w:rsidRPr="009E77FF"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1</w:t>
            </w:r>
          </w:p>
        </w:tc>
        <w:tc>
          <w:tcPr>
            <w:tcW w:w="2259" w:type="dxa"/>
            <w:tcBorders>
              <w:top w:val="single" w:sz="4" w:space="0" w:color="FFFFFF"/>
            </w:tcBorders>
            <w:shd w:val="clear" w:color="auto" w:fill="C6ECE5"/>
            <w:vAlign w:val="center"/>
          </w:tcPr>
          <w:p w:rsidR="003554F3" w:rsidRPr="009E77FF"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2</w:t>
            </w:r>
          </w:p>
        </w:tc>
        <w:tc>
          <w:tcPr>
            <w:tcW w:w="2259" w:type="dxa"/>
            <w:tcBorders>
              <w:top w:val="single" w:sz="4" w:space="0" w:color="FFFFFF"/>
            </w:tcBorders>
            <w:shd w:val="clear" w:color="auto" w:fill="C6ECE5"/>
            <w:vAlign w:val="center"/>
          </w:tcPr>
          <w:p w:rsidR="003554F3" w:rsidRPr="009E77FF"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4</w:t>
            </w:r>
          </w:p>
        </w:tc>
      </w:tr>
      <w:tr w:rsidR="006B5A19" w:rsidRPr="009E77FF" w:rsidTr="009E77FF">
        <w:trPr>
          <w:trHeight w:val="82"/>
        </w:trPr>
        <w:tc>
          <w:tcPr>
            <w:cnfStyle w:val="001000000000" w:firstRow="0" w:lastRow="0" w:firstColumn="1" w:lastColumn="0" w:oddVBand="0" w:evenVBand="0" w:oddHBand="0" w:evenHBand="0" w:firstRowFirstColumn="0" w:firstRowLastColumn="0" w:lastRowFirstColumn="0" w:lastRowLastColumn="0"/>
            <w:tcW w:w="1323" w:type="dxa"/>
            <w:vMerge/>
            <w:shd w:val="clear" w:color="auto" w:fill="1E5B4F"/>
            <w:vAlign w:val="center"/>
          </w:tcPr>
          <w:p w:rsidR="003554F3" w:rsidRPr="009E77FF" w:rsidRDefault="003554F3" w:rsidP="006F7F21">
            <w:pPr>
              <w:jc w:val="center"/>
              <w:rPr>
                <w:rFonts w:ascii="Noto Sans" w:hAnsi="Noto Sans" w:cs="Noto Sans"/>
                <w:sz w:val="16"/>
                <w:szCs w:val="16"/>
              </w:rPr>
            </w:pPr>
          </w:p>
        </w:tc>
        <w:tc>
          <w:tcPr>
            <w:tcW w:w="2661" w:type="dxa"/>
            <w:tcBorders>
              <w:top w:val="single" w:sz="4" w:space="0" w:color="FFFFFF"/>
            </w:tcBorders>
            <w:shd w:val="clear" w:color="auto" w:fill="F2F2F2" w:themeFill="background1" w:themeFillShade="F2"/>
            <w:vAlign w:val="center"/>
          </w:tcPr>
          <w:p w:rsidR="003554F3" w:rsidRPr="009E77FF" w:rsidRDefault="003554F3" w:rsidP="009E77FF">
            <w:pPr>
              <w:jc w:val="both"/>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eastAsia="Calibri" w:hAnsi="Noto Sans" w:cs="Noto Sans"/>
                <w:color w:val="000000" w:themeColor="text1"/>
                <w:sz w:val="16"/>
                <w:szCs w:val="16"/>
              </w:rPr>
              <w:t>Mayor capacidad técnica</w:t>
            </w:r>
          </w:p>
        </w:tc>
        <w:tc>
          <w:tcPr>
            <w:tcW w:w="2259" w:type="dxa"/>
            <w:tcBorders>
              <w:top w:val="single" w:sz="4" w:space="0" w:color="FFFFFF"/>
            </w:tcBorders>
            <w:shd w:val="clear" w:color="auto" w:fill="F2F2F2" w:themeFill="background1" w:themeFillShade="F2"/>
            <w:vAlign w:val="center"/>
          </w:tcPr>
          <w:p w:rsidR="003554F3" w:rsidRPr="009E77FF" w:rsidRDefault="00306760"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3</w:t>
            </w:r>
          </w:p>
        </w:tc>
        <w:tc>
          <w:tcPr>
            <w:tcW w:w="2259" w:type="dxa"/>
            <w:tcBorders>
              <w:top w:val="single" w:sz="4" w:space="0" w:color="FFFFFF"/>
            </w:tcBorders>
            <w:shd w:val="clear" w:color="auto" w:fill="F2F2F2" w:themeFill="background1" w:themeFillShade="F2"/>
            <w:vAlign w:val="center"/>
          </w:tcPr>
          <w:p w:rsidR="003554F3" w:rsidRPr="009E77FF" w:rsidRDefault="00306760"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4</w:t>
            </w:r>
          </w:p>
        </w:tc>
        <w:tc>
          <w:tcPr>
            <w:tcW w:w="2259" w:type="dxa"/>
            <w:tcBorders>
              <w:top w:val="single" w:sz="4" w:space="0" w:color="FFFFFF"/>
            </w:tcBorders>
            <w:shd w:val="clear" w:color="auto" w:fill="F2F2F2" w:themeFill="background1" w:themeFillShade="F2"/>
            <w:vAlign w:val="center"/>
          </w:tcPr>
          <w:p w:rsidR="003554F3" w:rsidRPr="009E77FF" w:rsidRDefault="00306760"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2</w:t>
            </w:r>
          </w:p>
        </w:tc>
        <w:tc>
          <w:tcPr>
            <w:tcW w:w="2259" w:type="dxa"/>
            <w:tcBorders>
              <w:top w:val="single" w:sz="4" w:space="0" w:color="FFFFFF"/>
            </w:tcBorders>
            <w:shd w:val="clear" w:color="auto" w:fill="F2F2F2" w:themeFill="background1" w:themeFillShade="F2"/>
            <w:vAlign w:val="center"/>
          </w:tcPr>
          <w:p w:rsidR="003554F3" w:rsidRPr="009E77FF" w:rsidRDefault="00306760"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1</w:t>
            </w:r>
          </w:p>
        </w:tc>
      </w:tr>
      <w:tr w:rsidR="006B5A19" w:rsidRPr="009E77FF" w:rsidTr="009E77FF">
        <w:trPr>
          <w:cnfStyle w:val="000000100000" w:firstRow="0" w:lastRow="0" w:firstColumn="0" w:lastColumn="0" w:oddVBand="0" w:evenVBand="0" w:oddHBand="1" w:evenHBand="0" w:firstRowFirstColumn="0" w:firstRowLastColumn="0" w:lastRowFirstColumn="0" w:lastRowLastColumn="0"/>
          <w:trHeight w:val="82"/>
        </w:trPr>
        <w:tc>
          <w:tcPr>
            <w:cnfStyle w:val="001000000000" w:firstRow="0" w:lastRow="0" w:firstColumn="1" w:lastColumn="0" w:oddVBand="0" w:evenVBand="0" w:oddHBand="0" w:evenHBand="0" w:firstRowFirstColumn="0" w:firstRowLastColumn="0" w:lastRowFirstColumn="0" w:lastRowLastColumn="0"/>
            <w:tcW w:w="1323" w:type="dxa"/>
            <w:vMerge w:val="restart"/>
            <w:shd w:val="clear" w:color="auto" w:fill="1E5B4F"/>
            <w:vAlign w:val="center"/>
          </w:tcPr>
          <w:p w:rsidR="003554F3" w:rsidRPr="009E77FF" w:rsidRDefault="003554F3" w:rsidP="006F7F21">
            <w:pPr>
              <w:jc w:val="center"/>
              <w:rPr>
                <w:rFonts w:ascii="Noto Sans" w:hAnsi="Noto Sans" w:cs="Noto Sans"/>
                <w:sz w:val="16"/>
                <w:szCs w:val="16"/>
              </w:rPr>
            </w:pPr>
            <w:r w:rsidRPr="009E77FF">
              <w:rPr>
                <w:rFonts w:ascii="Noto Sans" w:hAnsi="Noto Sans" w:cs="Noto Sans"/>
                <w:sz w:val="16"/>
                <w:szCs w:val="16"/>
              </w:rPr>
              <w:t>Marco institucional</w:t>
            </w:r>
          </w:p>
        </w:tc>
        <w:tc>
          <w:tcPr>
            <w:tcW w:w="2661" w:type="dxa"/>
            <w:shd w:val="clear" w:color="auto" w:fill="C6ECE5"/>
            <w:vAlign w:val="center"/>
          </w:tcPr>
          <w:p w:rsidR="003554F3" w:rsidRPr="009E77FF" w:rsidRDefault="003554F3" w:rsidP="009E77FF">
            <w:pPr>
              <w:jc w:val="both"/>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eastAsia="Calibri" w:hAnsi="Noto Sans" w:cs="Noto Sans"/>
                <w:color w:val="000000" w:themeColor="text1"/>
                <w:sz w:val="16"/>
                <w:szCs w:val="16"/>
              </w:rPr>
              <w:t>Se encuentra en el marco de las atribuciones de la dependencia o entidad que implementa el Pp</w:t>
            </w:r>
          </w:p>
        </w:tc>
        <w:tc>
          <w:tcPr>
            <w:tcW w:w="2259" w:type="dxa"/>
            <w:shd w:val="clear" w:color="auto" w:fill="C6ECE5"/>
            <w:vAlign w:val="center"/>
          </w:tcPr>
          <w:p w:rsidR="003554F3" w:rsidRPr="009E77FF"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3</w:t>
            </w:r>
          </w:p>
        </w:tc>
        <w:tc>
          <w:tcPr>
            <w:tcW w:w="2259" w:type="dxa"/>
            <w:shd w:val="clear" w:color="auto" w:fill="C6ECE5"/>
            <w:vAlign w:val="center"/>
          </w:tcPr>
          <w:p w:rsidR="003554F3" w:rsidRPr="009E77FF"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1</w:t>
            </w:r>
          </w:p>
        </w:tc>
        <w:tc>
          <w:tcPr>
            <w:tcW w:w="2259" w:type="dxa"/>
            <w:shd w:val="clear" w:color="auto" w:fill="C6ECE5"/>
            <w:vAlign w:val="center"/>
          </w:tcPr>
          <w:p w:rsidR="003554F3" w:rsidRPr="009E77FF"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2</w:t>
            </w:r>
          </w:p>
        </w:tc>
        <w:tc>
          <w:tcPr>
            <w:tcW w:w="2259" w:type="dxa"/>
            <w:shd w:val="clear" w:color="auto" w:fill="C6ECE5"/>
            <w:vAlign w:val="center"/>
          </w:tcPr>
          <w:p w:rsidR="003554F3" w:rsidRPr="009E77FF"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4</w:t>
            </w:r>
          </w:p>
        </w:tc>
      </w:tr>
      <w:tr w:rsidR="006B5A19" w:rsidRPr="009E77FF" w:rsidTr="009E77FF">
        <w:trPr>
          <w:trHeight w:val="82"/>
        </w:trPr>
        <w:tc>
          <w:tcPr>
            <w:cnfStyle w:val="001000000000" w:firstRow="0" w:lastRow="0" w:firstColumn="1" w:lastColumn="0" w:oddVBand="0" w:evenVBand="0" w:oddHBand="0" w:evenHBand="0" w:firstRowFirstColumn="0" w:firstRowLastColumn="0" w:lastRowFirstColumn="0" w:lastRowLastColumn="0"/>
            <w:tcW w:w="1323" w:type="dxa"/>
            <w:vMerge/>
            <w:shd w:val="clear" w:color="auto" w:fill="1E5B4F"/>
            <w:vAlign w:val="center"/>
          </w:tcPr>
          <w:p w:rsidR="003554F3" w:rsidRPr="009E77FF" w:rsidRDefault="003554F3" w:rsidP="006F7F21">
            <w:pPr>
              <w:jc w:val="center"/>
              <w:rPr>
                <w:rFonts w:ascii="Noto Sans" w:hAnsi="Noto Sans" w:cs="Noto Sans"/>
                <w:sz w:val="16"/>
                <w:szCs w:val="16"/>
              </w:rPr>
            </w:pPr>
          </w:p>
        </w:tc>
        <w:tc>
          <w:tcPr>
            <w:tcW w:w="2661" w:type="dxa"/>
            <w:tcBorders>
              <w:bottom w:val="single" w:sz="4" w:space="0" w:color="FFFFFF" w:themeColor="background1"/>
            </w:tcBorders>
            <w:shd w:val="clear" w:color="auto" w:fill="F2F2F2" w:themeFill="background1" w:themeFillShade="F2"/>
            <w:vAlign w:val="center"/>
          </w:tcPr>
          <w:p w:rsidR="003554F3" w:rsidRPr="009E77FF" w:rsidRDefault="003554F3" w:rsidP="009E77FF">
            <w:pPr>
              <w:jc w:val="both"/>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eastAsia="Calibri" w:hAnsi="Noto Sans" w:cs="Noto Sans"/>
                <w:color w:val="000000" w:themeColor="text1"/>
                <w:sz w:val="16"/>
                <w:szCs w:val="16"/>
              </w:rPr>
              <w:t>Mayor contribución a los objetivos de la dependencia o entidad y de la Planeación Nacional del Desarrollo</w:t>
            </w:r>
          </w:p>
        </w:tc>
        <w:tc>
          <w:tcPr>
            <w:tcW w:w="2259" w:type="dxa"/>
            <w:shd w:val="clear" w:color="auto" w:fill="F2F2F2" w:themeFill="background1" w:themeFillShade="F2"/>
            <w:vAlign w:val="center"/>
          </w:tcPr>
          <w:p w:rsidR="003554F3" w:rsidRPr="009E77FF" w:rsidRDefault="003554F3"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i/>
                <w:iCs/>
                <w:sz w:val="16"/>
                <w:szCs w:val="16"/>
              </w:rPr>
              <w:t>4</w:t>
            </w:r>
          </w:p>
        </w:tc>
        <w:tc>
          <w:tcPr>
            <w:tcW w:w="2259" w:type="dxa"/>
            <w:shd w:val="clear" w:color="auto" w:fill="F2F2F2" w:themeFill="background1" w:themeFillShade="F2"/>
            <w:vAlign w:val="center"/>
          </w:tcPr>
          <w:p w:rsidR="003554F3" w:rsidRPr="009E77FF" w:rsidRDefault="003554F3"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i/>
                <w:iCs/>
                <w:sz w:val="16"/>
                <w:szCs w:val="16"/>
              </w:rPr>
              <w:t>2</w:t>
            </w:r>
          </w:p>
        </w:tc>
        <w:tc>
          <w:tcPr>
            <w:tcW w:w="2259" w:type="dxa"/>
            <w:shd w:val="clear" w:color="auto" w:fill="F2F2F2" w:themeFill="background1" w:themeFillShade="F2"/>
            <w:vAlign w:val="center"/>
          </w:tcPr>
          <w:p w:rsidR="003554F3" w:rsidRPr="009E77FF" w:rsidRDefault="003554F3"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i/>
                <w:iCs/>
                <w:sz w:val="16"/>
                <w:szCs w:val="16"/>
              </w:rPr>
              <w:t>1</w:t>
            </w:r>
          </w:p>
        </w:tc>
        <w:tc>
          <w:tcPr>
            <w:tcW w:w="2259" w:type="dxa"/>
            <w:shd w:val="clear" w:color="auto" w:fill="F2F2F2" w:themeFill="background1" w:themeFillShade="F2"/>
            <w:vAlign w:val="center"/>
          </w:tcPr>
          <w:p w:rsidR="003554F3" w:rsidRPr="009E77FF" w:rsidRDefault="003554F3"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3</w:t>
            </w:r>
          </w:p>
        </w:tc>
      </w:tr>
      <w:tr w:rsidR="006B5A19" w:rsidRPr="009E77FF" w:rsidTr="009E77FF">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1323" w:type="dxa"/>
            <w:vMerge w:val="restart"/>
            <w:shd w:val="clear" w:color="auto" w:fill="1E5B4F"/>
            <w:vAlign w:val="center"/>
          </w:tcPr>
          <w:p w:rsidR="003554F3" w:rsidRPr="009E77FF" w:rsidRDefault="003554F3" w:rsidP="006F7F21">
            <w:pPr>
              <w:jc w:val="center"/>
              <w:rPr>
                <w:rFonts w:ascii="Noto Sans" w:hAnsi="Noto Sans" w:cs="Noto Sans"/>
                <w:sz w:val="16"/>
                <w:szCs w:val="16"/>
              </w:rPr>
            </w:pPr>
            <w:r w:rsidRPr="009E77FF">
              <w:rPr>
                <w:rFonts w:ascii="Noto Sans" w:hAnsi="Noto Sans" w:cs="Noto Sans"/>
                <w:sz w:val="16"/>
                <w:szCs w:val="16"/>
              </w:rPr>
              <w:t>Contexto de implementación</w:t>
            </w:r>
          </w:p>
        </w:tc>
        <w:tc>
          <w:tcPr>
            <w:tcW w:w="2661" w:type="dxa"/>
            <w:shd w:val="clear" w:color="auto" w:fill="C6ECE5"/>
            <w:vAlign w:val="center"/>
          </w:tcPr>
          <w:p w:rsidR="003554F3" w:rsidRPr="009E77FF" w:rsidRDefault="003554F3" w:rsidP="009E77FF">
            <w:pPr>
              <w:jc w:val="both"/>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Entorno político favorable</w:t>
            </w:r>
          </w:p>
        </w:tc>
        <w:tc>
          <w:tcPr>
            <w:tcW w:w="2259" w:type="dxa"/>
            <w:shd w:val="clear" w:color="auto" w:fill="C6ECE5"/>
            <w:vAlign w:val="center"/>
          </w:tcPr>
          <w:p w:rsidR="003554F3" w:rsidRPr="009E77FF" w:rsidRDefault="003554F3"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i/>
                <w:iCs/>
                <w:sz w:val="16"/>
                <w:szCs w:val="16"/>
              </w:rPr>
              <w:t>4</w:t>
            </w:r>
          </w:p>
        </w:tc>
        <w:tc>
          <w:tcPr>
            <w:tcW w:w="2259" w:type="dxa"/>
            <w:shd w:val="clear" w:color="auto" w:fill="C6ECE5"/>
            <w:vAlign w:val="center"/>
          </w:tcPr>
          <w:p w:rsidR="003554F3" w:rsidRPr="009E77FF" w:rsidRDefault="003554F3"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i/>
                <w:iCs/>
                <w:sz w:val="16"/>
                <w:szCs w:val="16"/>
              </w:rPr>
              <w:t>3</w:t>
            </w:r>
          </w:p>
        </w:tc>
        <w:tc>
          <w:tcPr>
            <w:tcW w:w="2259" w:type="dxa"/>
            <w:shd w:val="clear" w:color="auto" w:fill="C6ECE5"/>
            <w:vAlign w:val="center"/>
          </w:tcPr>
          <w:p w:rsidR="003554F3" w:rsidRPr="009E77FF" w:rsidRDefault="003554F3"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i/>
                <w:iCs/>
                <w:sz w:val="16"/>
                <w:szCs w:val="16"/>
              </w:rPr>
              <w:t>1</w:t>
            </w:r>
          </w:p>
        </w:tc>
        <w:tc>
          <w:tcPr>
            <w:tcW w:w="2259" w:type="dxa"/>
            <w:shd w:val="clear" w:color="auto" w:fill="C6ECE5"/>
            <w:vAlign w:val="center"/>
          </w:tcPr>
          <w:p w:rsidR="003554F3" w:rsidRPr="009E77FF" w:rsidRDefault="003554F3"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2</w:t>
            </w:r>
          </w:p>
        </w:tc>
      </w:tr>
      <w:tr w:rsidR="006B5A19" w:rsidRPr="009E77FF" w:rsidTr="009E77FF">
        <w:trPr>
          <w:trHeight w:val="92"/>
        </w:trPr>
        <w:tc>
          <w:tcPr>
            <w:cnfStyle w:val="001000000000" w:firstRow="0" w:lastRow="0" w:firstColumn="1" w:lastColumn="0" w:oddVBand="0" w:evenVBand="0" w:oddHBand="0" w:evenHBand="0" w:firstRowFirstColumn="0" w:firstRowLastColumn="0" w:lastRowFirstColumn="0" w:lastRowLastColumn="0"/>
            <w:tcW w:w="1323" w:type="dxa"/>
            <w:vMerge/>
            <w:shd w:val="clear" w:color="auto" w:fill="1E5B4F"/>
            <w:vAlign w:val="center"/>
          </w:tcPr>
          <w:p w:rsidR="003554F3" w:rsidRPr="009E77FF" w:rsidRDefault="003554F3" w:rsidP="006F7F21">
            <w:pPr>
              <w:jc w:val="center"/>
              <w:rPr>
                <w:rFonts w:ascii="Noto Sans" w:hAnsi="Noto Sans" w:cs="Noto Sans"/>
                <w:sz w:val="16"/>
                <w:szCs w:val="16"/>
              </w:rPr>
            </w:pPr>
          </w:p>
        </w:tc>
        <w:tc>
          <w:tcPr>
            <w:tcW w:w="2661" w:type="dxa"/>
            <w:shd w:val="clear" w:color="auto" w:fill="F2F2F2" w:themeFill="background1" w:themeFillShade="F2"/>
            <w:vAlign w:val="center"/>
          </w:tcPr>
          <w:p w:rsidR="003554F3" w:rsidRPr="009E77FF" w:rsidRDefault="003554F3" w:rsidP="009E77FF">
            <w:pPr>
              <w:jc w:val="both"/>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Mejor percepción social</w:t>
            </w:r>
          </w:p>
        </w:tc>
        <w:tc>
          <w:tcPr>
            <w:tcW w:w="2259" w:type="dxa"/>
            <w:shd w:val="clear" w:color="auto" w:fill="F2F2F2" w:themeFill="background1" w:themeFillShade="F2"/>
            <w:vAlign w:val="center"/>
          </w:tcPr>
          <w:p w:rsidR="003554F3" w:rsidRPr="009E77FF" w:rsidRDefault="003554F3"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3</w:t>
            </w:r>
          </w:p>
          <w:p w:rsidR="003554F3" w:rsidRPr="009E77FF" w:rsidRDefault="003554F3"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p>
        </w:tc>
        <w:tc>
          <w:tcPr>
            <w:tcW w:w="2259" w:type="dxa"/>
            <w:shd w:val="clear" w:color="auto" w:fill="F2F2F2" w:themeFill="background1" w:themeFillShade="F2"/>
            <w:vAlign w:val="center"/>
          </w:tcPr>
          <w:p w:rsidR="003554F3" w:rsidRPr="009E77FF" w:rsidRDefault="003554F3"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4</w:t>
            </w:r>
          </w:p>
          <w:p w:rsidR="003554F3" w:rsidRPr="009E77FF" w:rsidRDefault="003554F3"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p>
        </w:tc>
        <w:tc>
          <w:tcPr>
            <w:tcW w:w="2259" w:type="dxa"/>
            <w:shd w:val="clear" w:color="auto" w:fill="F2F2F2" w:themeFill="background1" w:themeFillShade="F2"/>
            <w:vAlign w:val="center"/>
          </w:tcPr>
          <w:p w:rsidR="003554F3" w:rsidRPr="009E77FF" w:rsidRDefault="003554F3"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2</w:t>
            </w:r>
          </w:p>
          <w:p w:rsidR="003554F3" w:rsidRPr="009E77FF" w:rsidRDefault="003554F3"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p>
        </w:tc>
        <w:tc>
          <w:tcPr>
            <w:tcW w:w="2259" w:type="dxa"/>
            <w:shd w:val="clear" w:color="auto" w:fill="F2F2F2" w:themeFill="background1" w:themeFillShade="F2"/>
            <w:vAlign w:val="center"/>
          </w:tcPr>
          <w:p w:rsidR="003554F3" w:rsidRPr="009E77FF" w:rsidRDefault="003554F3"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1</w:t>
            </w:r>
          </w:p>
        </w:tc>
      </w:tr>
      <w:tr w:rsidR="006B5A19" w:rsidRPr="009E77FF" w:rsidTr="009E77FF">
        <w:trPr>
          <w:cnfStyle w:val="000000100000" w:firstRow="0" w:lastRow="0" w:firstColumn="0" w:lastColumn="0" w:oddVBand="0" w:evenVBand="0" w:oddHBand="1" w:evenHBand="0" w:firstRowFirstColumn="0" w:firstRowLastColumn="0" w:lastRowFirstColumn="0" w:lastRowLastColumn="0"/>
          <w:trHeight w:val="92"/>
        </w:trPr>
        <w:tc>
          <w:tcPr>
            <w:cnfStyle w:val="001000000000" w:firstRow="0" w:lastRow="0" w:firstColumn="1" w:lastColumn="0" w:oddVBand="0" w:evenVBand="0" w:oddHBand="0" w:evenHBand="0" w:firstRowFirstColumn="0" w:firstRowLastColumn="0" w:lastRowFirstColumn="0" w:lastRowLastColumn="0"/>
            <w:tcW w:w="1323" w:type="dxa"/>
            <w:vMerge/>
            <w:shd w:val="clear" w:color="auto" w:fill="1E5B4F"/>
            <w:vAlign w:val="center"/>
          </w:tcPr>
          <w:p w:rsidR="003554F3" w:rsidRPr="009E77FF" w:rsidRDefault="003554F3" w:rsidP="006F7F21">
            <w:pPr>
              <w:jc w:val="center"/>
              <w:rPr>
                <w:rFonts w:ascii="Noto Sans" w:hAnsi="Noto Sans" w:cs="Noto Sans"/>
                <w:sz w:val="16"/>
                <w:szCs w:val="16"/>
              </w:rPr>
            </w:pPr>
          </w:p>
        </w:tc>
        <w:tc>
          <w:tcPr>
            <w:tcW w:w="2661" w:type="dxa"/>
            <w:shd w:val="clear" w:color="auto" w:fill="C6ECE5"/>
            <w:vAlign w:val="center"/>
          </w:tcPr>
          <w:p w:rsidR="003554F3" w:rsidRPr="009E77FF" w:rsidRDefault="003554F3" w:rsidP="009E77FF">
            <w:pPr>
              <w:jc w:val="both"/>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Menor impacto ambiental</w:t>
            </w:r>
          </w:p>
        </w:tc>
        <w:tc>
          <w:tcPr>
            <w:tcW w:w="2259" w:type="dxa"/>
            <w:shd w:val="clear" w:color="auto" w:fill="C6ECE5"/>
            <w:vAlign w:val="center"/>
          </w:tcPr>
          <w:p w:rsidR="00E26337" w:rsidRPr="009E77FF" w:rsidRDefault="00E26337"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2</w:t>
            </w:r>
          </w:p>
          <w:p w:rsidR="003554F3" w:rsidRPr="009E77FF" w:rsidRDefault="003554F3"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p>
        </w:tc>
        <w:tc>
          <w:tcPr>
            <w:tcW w:w="2259" w:type="dxa"/>
            <w:shd w:val="clear" w:color="auto" w:fill="C6ECE5"/>
            <w:vAlign w:val="center"/>
          </w:tcPr>
          <w:p w:rsidR="00E26337" w:rsidRPr="009E77FF" w:rsidRDefault="00E26337"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4</w:t>
            </w:r>
          </w:p>
          <w:p w:rsidR="003554F3" w:rsidRPr="009E77FF" w:rsidRDefault="003554F3"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p>
        </w:tc>
        <w:tc>
          <w:tcPr>
            <w:tcW w:w="2259" w:type="dxa"/>
            <w:shd w:val="clear" w:color="auto" w:fill="C6ECE5"/>
            <w:vAlign w:val="center"/>
          </w:tcPr>
          <w:p w:rsidR="00E26337" w:rsidRPr="009E77FF" w:rsidRDefault="00E26337"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1</w:t>
            </w:r>
          </w:p>
          <w:p w:rsidR="003554F3" w:rsidRPr="009E77FF" w:rsidRDefault="003554F3"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sz w:val="16"/>
                <w:szCs w:val="16"/>
              </w:rPr>
            </w:pPr>
          </w:p>
        </w:tc>
        <w:tc>
          <w:tcPr>
            <w:tcW w:w="2259" w:type="dxa"/>
            <w:shd w:val="clear" w:color="auto" w:fill="C6ECE5"/>
            <w:vAlign w:val="center"/>
          </w:tcPr>
          <w:p w:rsidR="003554F3" w:rsidRPr="009E77FF" w:rsidRDefault="00E26337"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3</w:t>
            </w:r>
          </w:p>
        </w:tc>
      </w:tr>
      <w:tr w:rsidR="006B5A19" w:rsidRPr="009E77FF" w:rsidTr="009E77FF">
        <w:trPr>
          <w:trHeight w:val="92"/>
        </w:trPr>
        <w:tc>
          <w:tcPr>
            <w:cnfStyle w:val="001000000000" w:firstRow="0" w:lastRow="0" w:firstColumn="1" w:lastColumn="0" w:oddVBand="0" w:evenVBand="0" w:oddHBand="0" w:evenHBand="0" w:firstRowFirstColumn="0" w:firstRowLastColumn="0" w:lastRowFirstColumn="0" w:lastRowLastColumn="0"/>
            <w:tcW w:w="1323" w:type="dxa"/>
            <w:vMerge/>
            <w:shd w:val="clear" w:color="auto" w:fill="1E5B4F"/>
            <w:vAlign w:val="center"/>
          </w:tcPr>
          <w:p w:rsidR="003554F3" w:rsidRPr="009E77FF" w:rsidRDefault="003554F3" w:rsidP="006F7F21">
            <w:pPr>
              <w:jc w:val="center"/>
              <w:rPr>
                <w:rFonts w:ascii="Noto Sans" w:hAnsi="Noto Sans" w:cs="Noto Sans"/>
                <w:sz w:val="16"/>
                <w:szCs w:val="16"/>
              </w:rPr>
            </w:pPr>
          </w:p>
        </w:tc>
        <w:tc>
          <w:tcPr>
            <w:tcW w:w="2661" w:type="dxa"/>
            <w:shd w:val="clear" w:color="auto" w:fill="F2F2F2" w:themeFill="background1" w:themeFillShade="F2"/>
            <w:vAlign w:val="center"/>
          </w:tcPr>
          <w:p w:rsidR="003554F3" w:rsidRPr="009E77FF" w:rsidRDefault="003554F3" w:rsidP="009E77FF">
            <w:pPr>
              <w:jc w:val="both"/>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Mayor pertinencia cultural y territorial</w:t>
            </w:r>
          </w:p>
        </w:tc>
        <w:tc>
          <w:tcPr>
            <w:tcW w:w="2259" w:type="dxa"/>
            <w:shd w:val="clear" w:color="auto" w:fill="F2F2F2" w:themeFill="background1" w:themeFillShade="F2"/>
            <w:vAlign w:val="center"/>
          </w:tcPr>
          <w:p w:rsidR="003554F3" w:rsidRPr="009E77FF" w:rsidRDefault="00E26337"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2</w:t>
            </w:r>
          </w:p>
        </w:tc>
        <w:tc>
          <w:tcPr>
            <w:tcW w:w="2259" w:type="dxa"/>
            <w:shd w:val="clear" w:color="auto" w:fill="F2F2F2" w:themeFill="background1" w:themeFillShade="F2"/>
            <w:vAlign w:val="center"/>
          </w:tcPr>
          <w:p w:rsidR="003554F3" w:rsidRPr="009E77FF" w:rsidRDefault="00E26337"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4</w:t>
            </w:r>
          </w:p>
        </w:tc>
        <w:tc>
          <w:tcPr>
            <w:tcW w:w="2259" w:type="dxa"/>
            <w:shd w:val="clear" w:color="auto" w:fill="F2F2F2" w:themeFill="background1" w:themeFillShade="F2"/>
            <w:vAlign w:val="center"/>
          </w:tcPr>
          <w:p w:rsidR="003554F3" w:rsidRPr="009E77FF" w:rsidRDefault="00E26337"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16"/>
              </w:rPr>
            </w:pPr>
            <w:r w:rsidRPr="009E77FF">
              <w:rPr>
                <w:rFonts w:ascii="Noto Sans" w:hAnsi="Noto Sans" w:cs="Noto Sans"/>
                <w:sz w:val="16"/>
                <w:szCs w:val="16"/>
              </w:rPr>
              <w:t>3</w:t>
            </w:r>
          </w:p>
        </w:tc>
        <w:tc>
          <w:tcPr>
            <w:tcW w:w="2259" w:type="dxa"/>
            <w:shd w:val="clear" w:color="auto" w:fill="F2F2F2" w:themeFill="background1" w:themeFillShade="F2"/>
            <w:vAlign w:val="center"/>
          </w:tcPr>
          <w:p w:rsidR="003554F3" w:rsidRPr="009E77FF" w:rsidRDefault="00E26337" w:rsidP="009E77FF">
            <w:pPr>
              <w:jc w:val="center"/>
              <w:cnfStyle w:val="000000000000" w:firstRow="0" w:lastRow="0" w:firstColumn="0" w:lastColumn="0" w:oddVBand="0" w:evenVBand="0" w:oddHBand="0" w:evenHBand="0" w:firstRowFirstColumn="0" w:firstRowLastColumn="0" w:lastRowFirstColumn="0" w:lastRowLastColumn="0"/>
              <w:rPr>
                <w:rFonts w:ascii="Noto Sans" w:hAnsi="Noto Sans" w:cs="Noto Sans"/>
                <w:i/>
                <w:iCs/>
                <w:sz w:val="16"/>
                <w:szCs w:val="16"/>
              </w:rPr>
            </w:pPr>
            <w:r w:rsidRPr="009E77FF">
              <w:rPr>
                <w:rFonts w:ascii="Noto Sans" w:hAnsi="Noto Sans" w:cs="Noto Sans"/>
                <w:i/>
                <w:iCs/>
                <w:sz w:val="16"/>
                <w:szCs w:val="16"/>
              </w:rPr>
              <w:t>1</w:t>
            </w:r>
          </w:p>
        </w:tc>
      </w:tr>
      <w:tr w:rsidR="006B5A19" w:rsidRPr="0047528A" w:rsidTr="009E77FF">
        <w:trPr>
          <w:cnfStyle w:val="000000100000" w:firstRow="0" w:lastRow="0" w:firstColumn="0" w:lastColumn="0" w:oddVBand="0" w:evenVBand="0" w:oddHBand="1" w:evenHBand="0" w:firstRowFirstColumn="0" w:firstRowLastColumn="0" w:lastRowFirstColumn="0" w:lastRowLastColumn="0"/>
          <w:trHeight w:val="92"/>
        </w:trPr>
        <w:tc>
          <w:tcPr>
            <w:cnfStyle w:val="001000000000" w:firstRow="0" w:lastRow="0" w:firstColumn="1" w:lastColumn="0" w:oddVBand="0" w:evenVBand="0" w:oddHBand="0" w:evenHBand="0" w:firstRowFirstColumn="0" w:firstRowLastColumn="0" w:lastRowFirstColumn="0" w:lastRowLastColumn="0"/>
            <w:tcW w:w="3984" w:type="dxa"/>
            <w:gridSpan w:val="2"/>
            <w:tcBorders>
              <w:bottom w:val="single" w:sz="4" w:space="0" w:color="FFFFFF"/>
            </w:tcBorders>
            <w:shd w:val="clear" w:color="auto" w:fill="1E5B4F"/>
            <w:vAlign w:val="center"/>
          </w:tcPr>
          <w:p w:rsidR="003554F3" w:rsidRPr="0047528A" w:rsidRDefault="003554F3" w:rsidP="006F7F21">
            <w:pPr>
              <w:jc w:val="center"/>
              <w:rPr>
                <w:rFonts w:ascii="Noto Sans" w:eastAsia="Calibri" w:hAnsi="Noto Sans" w:cs="Noto Sans"/>
                <w:i/>
                <w:sz w:val="16"/>
                <w:szCs w:val="16"/>
              </w:rPr>
            </w:pPr>
            <w:r w:rsidRPr="0047528A">
              <w:rPr>
                <w:rFonts w:ascii="Noto Sans" w:eastAsia="Calibri" w:hAnsi="Noto Sans" w:cs="Noto Sans"/>
                <w:i/>
                <w:sz w:val="16"/>
                <w:szCs w:val="16"/>
              </w:rPr>
              <w:t>Total</w:t>
            </w:r>
          </w:p>
        </w:tc>
        <w:tc>
          <w:tcPr>
            <w:tcW w:w="2259" w:type="dxa"/>
            <w:shd w:val="clear" w:color="auto" w:fill="1E5B4F"/>
            <w:vAlign w:val="center"/>
          </w:tcPr>
          <w:p w:rsidR="003554F3" w:rsidRPr="0047528A"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b/>
                <w:bCs/>
                <w:i/>
                <w:color w:val="FFFFFF" w:themeColor="background1"/>
                <w:sz w:val="16"/>
                <w:szCs w:val="16"/>
              </w:rPr>
            </w:pPr>
            <w:r w:rsidRPr="0047528A">
              <w:rPr>
                <w:rFonts w:ascii="Noto Sans" w:hAnsi="Noto Sans" w:cs="Noto Sans"/>
                <w:b/>
                <w:bCs/>
                <w:i/>
                <w:color w:val="FFFFFF" w:themeColor="background1"/>
                <w:sz w:val="16"/>
                <w:szCs w:val="16"/>
              </w:rPr>
              <w:t>35</w:t>
            </w:r>
          </w:p>
        </w:tc>
        <w:tc>
          <w:tcPr>
            <w:tcW w:w="2259" w:type="dxa"/>
            <w:shd w:val="clear" w:color="auto" w:fill="1E5B4F"/>
            <w:vAlign w:val="center"/>
          </w:tcPr>
          <w:p w:rsidR="003554F3" w:rsidRPr="0047528A"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b/>
                <w:bCs/>
                <w:i/>
                <w:color w:val="FFFFFF" w:themeColor="background1"/>
                <w:sz w:val="16"/>
                <w:szCs w:val="16"/>
              </w:rPr>
            </w:pPr>
            <w:r w:rsidRPr="0047528A">
              <w:rPr>
                <w:rFonts w:ascii="Noto Sans" w:hAnsi="Noto Sans" w:cs="Noto Sans"/>
                <w:b/>
                <w:bCs/>
                <w:i/>
                <w:color w:val="FFFFFF" w:themeColor="background1"/>
                <w:sz w:val="16"/>
                <w:szCs w:val="16"/>
              </w:rPr>
              <w:t>36</w:t>
            </w:r>
          </w:p>
        </w:tc>
        <w:tc>
          <w:tcPr>
            <w:tcW w:w="2259" w:type="dxa"/>
            <w:shd w:val="clear" w:color="auto" w:fill="1E5B4F"/>
            <w:vAlign w:val="center"/>
          </w:tcPr>
          <w:p w:rsidR="003554F3" w:rsidRPr="0047528A"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b/>
                <w:bCs/>
                <w:i/>
                <w:color w:val="FFFFFF" w:themeColor="background1"/>
                <w:sz w:val="16"/>
                <w:szCs w:val="16"/>
              </w:rPr>
            </w:pPr>
            <w:r w:rsidRPr="0047528A">
              <w:rPr>
                <w:rFonts w:ascii="Noto Sans" w:hAnsi="Noto Sans" w:cs="Noto Sans"/>
                <w:b/>
                <w:bCs/>
                <w:i/>
                <w:color w:val="FFFFFF" w:themeColor="background1"/>
                <w:sz w:val="16"/>
                <w:szCs w:val="16"/>
              </w:rPr>
              <w:t>22</w:t>
            </w:r>
          </w:p>
        </w:tc>
        <w:tc>
          <w:tcPr>
            <w:tcW w:w="2259" w:type="dxa"/>
            <w:shd w:val="clear" w:color="auto" w:fill="1E5B4F"/>
            <w:vAlign w:val="center"/>
          </w:tcPr>
          <w:p w:rsidR="003554F3" w:rsidRPr="0047528A" w:rsidRDefault="00306760" w:rsidP="009E77FF">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b/>
                <w:bCs/>
                <w:i/>
                <w:color w:val="FFFFFF" w:themeColor="background1"/>
                <w:sz w:val="16"/>
                <w:szCs w:val="16"/>
              </w:rPr>
            </w:pPr>
            <w:r w:rsidRPr="0047528A">
              <w:rPr>
                <w:rFonts w:ascii="Noto Sans" w:hAnsi="Noto Sans" w:cs="Noto Sans"/>
                <w:b/>
                <w:bCs/>
                <w:i/>
                <w:color w:val="FFFFFF" w:themeColor="background1"/>
                <w:sz w:val="16"/>
                <w:szCs w:val="16"/>
              </w:rPr>
              <w:t>27</w:t>
            </w:r>
          </w:p>
        </w:tc>
      </w:tr>
    </w:tbl>
    <w:p w:rsidR="006B5A19" w:rsidRDefault="008D681C" w:rsidP="009E77FF">
      <w:pPr>
        <w:jc w:val="both"/>
        <w:rPr>
          <w:rFonts w:ascii="Noto Sans" w:hAnsi="Noto Sans" w:cs="Noto Sans"/>
          <w:sz w:val="20"/>
          <w:szCs w:val="20"/>
        </w:rPr>
      </w:pPr>
      <w:r w:rsidRPr="0047528A">
        <w:rPr>
          <w:rFonts w:ascii="Noto Sans" w:hAnsi="Noto Sans" w:cs="Noto Sans"/>
          <w:i/>
          <w:sz w:val="18"/>
          <w:szCs w:val="20"/>
        </w:rPr>
        <w:t>Escala de comparación propuesta: 1=</w:t>
      </w:r>
      <w:r w:rsidR="00AB0D1E" w:rsidRPr="0047528A">
        <w:rPr>
          <w:rFonts w:ascii="Noto Sans" w:hAnsi="Noto Sans" w:cs="Noto Sans"/>
          <w:i/>
          <w:sz w:val="18"/>
          <w:szCs w:val="20"/>
        </w:rPr>
        <w:t>bajo</w:t>
      </w:r>
      <w:r w:rsidRPr="0047528A">
        <w:rPr>
          <w:rFonts w:ascii="Noto Sans" w:hAnsi="Noto Sans" w:cs="Noto Sans"/>
          <w:i/>
          <w:sz w:val="18"/>
          <w:szCs w:val="20"/>
        </w:rPr>
        <w:t>; 2=medi</w:t>
      </w:r>
      <w:r w:rsidR="00AB0D1E" w:rsidRPr="0047528A">
        <w:rPr>
          <w:rFonts w:ascii="Noto Sans" w:hAnsi="Noto Sans" w:cs="Noto Sans"/>
          <w:i/>
          <w:sz w:val="18"/>
          <w:szCs w:val="20"/>
        </w:rPr>
        <w:t>o</w:t>
      </w:r>
      <w:r w:rsidRPr="0047528A">
        <w:rPr>
          <w:rFonts w:ascii="Noto Sans" w:hAnsi="Noto Sans" w:cs="Noto Sans"/>
          <w:i/>
          <w:sz w:val="18"/>
          <w:szCs w:val="20"/>
        </w:rPr>
        <w:t>; 3=</w:t>
      </w:r>
      <w:r w:rsidR="003554F3" w:rsidRPr="0047528A">
        <w:rPr>
          <w:rFonts w:ascii="Noto Sans" w:hAnsi="Noto Sans" w:cs="Noto Sans"/>
          <w:i/>
          <w:sz w:val="18"/>
          <w:szCs w:val="20"/>
        </w:rPr>
        <w:t>medio alto, 4= alto</w:t>
      </w:r>
      <w:r w:rsidRPr="0047528A">
        <w:rPr>
          <w:rFonts w:ascii="Noto Sans" w:hAnsi="Noto Sans" w:cs="Noto Sans"/>
          <w:i/>
          <w:sz w:val="18"/>
          <w:szCs w:val="20"/>
        </w:rPr>
        <w:t>.</w:t>
      </w:r>
      <w:r w:rsidR="006B5A19" w:rsidRPr="009E77FF">
        <w:rPr>
          <w:rFonts w:ascii="Noto Sans" w:hAnsi="Noto Sans" w:cs="Noto Sans"/>
          <w:sz w:val="20"/>
          <w:szCs w:val="20"/>
        </w:rPr>
        <w:br w:type="page"/>
      </w:r>
    </w:p>
    <w:p w:rsidR="002324F1" w:rsidRDefault="002324F1" w:rsidP="002324F1">
      <w:pPr>
        <w:spacing w:before="120" w:after="120" w:line="276" w:lineRule="auto"/>
        <w:jc w:val="both"/>
        <w:rPr>
          <w:rFonts w:ascii="Noto Sans" w:hAnsi="Noto Sans" w:cs="Noto Sans"/>
          <w:sz w:val="20"/>
          <w:szCs w:val="20"/>
        </w:rPr>
        <w:sectPr w:rsidR="002324F1" w:rsidSect="006B5A19">
          <w:headerReference w:type="default" r:id="rId26"/>
          <w:type w:val="continuous"/>
          <w:pgSz w:w="15840" w:h="12240" w:orient="landscape"/>
          <w:pgMar w:top="1701" w:right="2126" w:bottom="1701" w:left="1134" w:header="709" w:footer="709" w:gutter="0"/>
          <w:cols w:space="708"/>
          <w:docGrid w:linePitch="360"/>
        </w:sectPr>
      </w:pPr>
    </w:p>
    <w:p w:rsidR="002324F1" w:rsidRPr="007715DC" w:rsidRDefault="002324F1" w:rsidP="002324F1">
      <w:pPr>
        <w:spacing w:before="120" w:after="120" w:line="276" w:lineRule="auto"/>
        <w:jc w:val="both"/>
        <w:rPr>
          <w:rFonts w:ascii="Noto Sans" w:hAnsi="Noto Sans" w:cs="Noto Sans"/>
          <w:sz w:val="20"/>
          <w:szCs w:val="20"/>
        </w:rPr>
      </w:pPr>
      <w:r>
        <w:rPr>
          <w:rFonts w:ascii="Noto Sans" w:hAnsi="Noto Sans" w:cs="Noto Sans"/>
          <w:sz w:val="20"/>
          <w:szCs w:val="20"/>
        </w:rPr>
        <w:lastRenderedPageBreak/>
        <w:t xml:space="preserve">Después del análisis en nuestra matriz de alternativas, algunas de las </w:t>
      </w:r>
      <w:r w:rsidRPr="007715DC">
        <w:rPr>
          <w:rFonts w:ascii="Noto Sans" w:hAnsi="Noto Sans" w:cs="Noto Sans"/>
          <w:sz w:val="20"/>
          <w:szCs w:val="20"/>
        </w:rPr>
        <w:t>más viables para la resolución de este problema serían:</w:t>
      </w:r>
    </w:p>
    <w:p w:rsidR="002324F1" w:rsidRPr="007715DC" w:rsidRDefault="002324F1" w:rsidP="005E6276">
      <w:pPr>
        <w:pStyle w:val="Prrafodelista"/>
        <w:numPr>
          <w:ilvl w:val="0"/>
          <w:numId w:val="9"/>
        </w:numPr>
        <w:spacing w:before="120" w:after="120" w:line="276" w:lineRule="auto"/>
        <w:jc w:val="both"/>
        <w:rPr>
          <w:rFonts w:ascii="Noto Sans" w:hAnsi="Noto Sans" w:cs="Noto Sans"/>
          <w:sz w:val="20"/>
          <w:szCs w:val="20"/>
        </w:rPr>
      </w:pPr>
      <w:r w:rsidRPr="007715DC">
        <w:rPr>
          <w:rFonts w:ascii="Noto Sans" w:hAnsi="Noto Sans" w:cs="Noto Sans"/>
          <w:sz w:val="20"/>
          <w:szCs w:val="20"/>
        </w:rPr>
        <w:t>Aumentar los servicios de atención ambulatoria y de atención hospitalaria de primer y segundo nivel de atención</w:t>
      </w:r>
    </w:p>
    <w:p w:rsidR="002324F1" w:rsidRPr="007715DC" w:rsidRDefault="002324F1" w:rsidP="005E6276">
      <w:pPr>
        <w:pStyle w:val="Prrafodelista"/>
        <w:numPr>
          <w:ilvl w:val="0"/>
          <w:numId w:val="9"/>
        </w:numPr>
        <w:spacing w:before="120" w:after="120" w:line="276" w:lineRule="auto"/>
        <w:jc w:val="both"/>
        <w:rPr>
          <w:rFonts w:ascii="Noto Sans" w:hAnsi="Noto Sans" w:cs="Noto Sans"/>
          <w:sz w:val="20"/>
          <w:szCs w:val="20"/>
        </w:rPr>
      </w:pPr>
      <w:r w:rsidRPr="007715DC">
        <w:rPr>
          <w:rFonts w:ascii="Noto Sans" w:hAnsi="Noto Sans" w:cs="Noto Sans"/>
          <w:sz w:val="20"/>
          <w:szCs w:val="20"/>
        </w:rPr>
        <w:t>Aumentar la atención para el diagnóstico temprano y generar campañas de prevención</w:t>
      </w:r>
    </w:p>
    <w:p w:rsidR="002324F1" w:rsidRPr="009E77FF" w:rsidRDefault="002324F1" w:rsidP="002324F1">
      <w:pPr>
        <w:jc w:val="both"/>
        <w:rPr>
          <w:rFonts w:ascii="Noto Sans" w:hAnsi="Noto Sans" w:cs="Noto Sans"/>
          <w:sz w:val="20"/>
          <w:szCs w:val="20"/>
        </w:rPr>
      </w:pPr>
      <w:r w:rsidRPr="007715DC">
        <w:rPr>
          <w:rFonts w:ascii="Noto Sans" w:hAnsi="Noto Sans" w:cs="Noto Sans"/>
          <w:sz w:val="20"/>
          <w:szCs w:val="20"/>
        </w:rPr>
        <w:t>Esto llevara a que se pueda cumplir el objetivo de que la población sin seguridad social acceda efectivamente a la atención d ela salud; mejorando la satisfacción de la atención, con un incremento en la cobertura del programa y disminuyendo y/o retrasando las patologías en fases avanzadas.</w:t>
      </w:r>
    </w:p>
    <w:p w:rsidR="009E77FF" w:rsidRPr="009E77FF" w:rsidRDefault="009E77FF" w:rsidP="005E6276">
      <w:pPr>
        <w:pStyle w:val="Ttulo1"/>
        <w:numPr>
          <w:ilvl w:val="0"/>
          <w:numId w:val="1"/>
        </w:numPr>
        <w:spacing w:before="120" w:after="120" w:line="276" w:lineRule="auto"/>
        <w:rPr>
          <w:rFonts w:ascii="Noto Sans" w:hAnsi="Noto Sans" w:cs="Noto Sans"/>
          <w:b/>
          <w:color w:val="1E5B4F"/>
          <w:sz w:val="20"/>
          <w:szCs w:val="20"/>
        </w:rPr>
        <w:sectPr w:rsidR="009E77FF" w:rsidRPr="009E77FF" w:rsidSect="002324F1">
          <w:type w:val="continuous"/>
          <w:pgSz w:w="12240" w:h="15840"/>
          <w:pgMar w:top="2126" w:right="1701" w:bottom="1134" w:left="1701" w:header="709" w:footer="709" w:gutter="0"/>
          <w:cols w:space="708"/>
          <w:docGrid w:linePitch="360"/>
        </w:sectPr>
      </w:pPr>
      <w:bookmarkStart w:id="13" w:name="_Toc201830230"/>
    </w:p>
    <w:p w:rsidR="00B70D5C" w:rsidRPr="009E77FF" w:rsidRDefault="00B70D5C" w:rsidP="005E6276">
      <w:pPr>
        <w:pStyle w:val="Ttulo1"/>
        <w:numPr>
          <w:ilvl w:val="0"/>
          <w:numId w:val="1"/>
        </w:numPr>
        <w:spacing w:before="120" w:after="120" w:line="276" w:lineRule="auto"/>
        <w:rPr>
          <w:rFonts w:ascii="Noto Sans" w:hAnsi="Noto Sans" w:cs="Noto Sans"/>
          <w:b/>
          <w:color w:val="1E5B4F"/>
          <w:sz w:val="20"/>
          <w:szCs w:val="20"/>
        </w:rPr>
      </w:pPr>
      <w:r w:rsidRPr="009E77FF">
        <w:rPr>
          <w:rFonts w:ascii="Noto Sans" w:hAnsi="Noto Sans" w:cs="Noto Sans"/>
          <w:b/>
          <w:color w:val="1E5B4F"/>
          <w:sz w:val="20"/>
          <w:szCs w:val="20"/>
        </w:rPr>
        <w:t>Estructura Analítica del Programa presupuestario (EAPp)</w:t>
      </w:r>
      <w:bookmarkEnd w:id="13"/>
    </w:p>
    <w:p w:rsidR="00E71F38" w:rsidRPr="00E71F38" w:rsidRDefault="00E71F38" w:rsidP="00E71F38">
      <w:pPr>
        <w:spacing w:before="120" w:after="120" w:line="276" w:lineRule="auto"/>
        <w:jc w:val="both"/>
        <w:rPr>
          <w:rFonts w:ascii="Noto Sans" w:hAnsi="Noto Sans" w:cs="Noto Sans"/>
          <w:sz w:val="20"/>
          <w:szCs w:val="20"/>
        </w:rPr>
      </w:pPr>
      <w:r>
        <w:rPr>
          <w:rFonts w:ascii="Noto Sans" w:hAnsi="Noto Sans" w:cs="Noto Sans"/>
          <w:sz w:val="20"/>
          <w:szCs w:val="20"/>
        </w:rPr>
        <w:t>E</w:t>
      </w:r>
      <w:r w:rsidR="00E1752C" w:rsidRPr="007715DC">
        <w:rPr>
          <w:rFonts w:ascii="Noto Sans" w:hAnsi="Noto Sans" w:cs="Noto Sans"/>
          <w:sz w:val="20"/>
          <w:szCs w:val="20"/>
        </w:rPr>
        <w:t>l programa presupuestario E031</w:t>
      </w:r>
      <w:r>
        <w:rPr>
          <w:rFonts w:ascii="Noto Sans" w:hAnsi="Noto Sans" w:cs="Noto Sans"/>
          <w:sz w:val="20"/>
          <w:szCs w:val="20"/>
        </w:rPr>
        <w:t xml:space="preserve"> atenderá a problematica</w:t>
      </w:r>
      <w:r>
        <w:rPr>
          <w:rFonts w:ascii="Noto Sans" w:eastAsia="Noto Sans" w:hAnsi="Noto Sans" w:cs="Noto Sans"/>
          <w:b/>
          <w:bCs/>
          <w:color w:val="000000" w:themeColor="dark1"/>
          <w:kern w:val="24"/>
          <w:sz w:val="21"/>
          <w:szCs w:val="21"/>
          <w:lang w:eastAsia="en-US"/>
        </w:rPr>
        <w:t xml:space="preserve"> de </w:t>
      </w:r>
      <w:r>
        <w:rPr>
          <w:rFonts w:ascii="Noto Sans" w:hAnsi="Noto Sans" w:cs="Noto Sans"/>
          <w:b/>
          <w:bCs/>
          <w:sz w:val="20"/>
          <w:szCs w:val="20"/>
        </w:rPr>
        <w:t>l</w:t>
      </w:r>
      <w:r w:rsidRPr="00E71F38">
        <w:rPr>
          <w:rFonts w:ascii="Noto Sans" w:hAnsi="Noto Sans" w:cs="Noto Sans"/>
          <w:b/>
          <w:bCs/>
          <w:sz w:val="20"/>
          <w:szCs w:val="20"/>
        </w:rPr>
        <w:t>as personas sin seguridad social que presentan padecimientos de especialidad y alta especialidad</w:t>
      </w:r>
      <w:r>
        <w:rPr>
          <w:rFonts w:ascii="Noto Sans" w:hAnsi="Noto Sans" w:cs="Noto Sans"/>
          <w:b/>
          <w:bCs/>
          <w:sz w:val="20"/>
          <w:szCs w:val="20"/>
        </w:rPr>
        <w:t xml:space="preserve"> y</w:t>
      </w:r>
      <w:r w:rsidRPr="00E71F38">
        <w:rPr>
          <w:rFonts w:ascii="Noto Sans" w:hAnsi="Noto Sans" w:cs="Noto Sans"/>
          <w:b/>
          <w:bCs/>
          <w:sz w:val="20"/>
          <w:szCs w:val="20"/>
        </w:rPr>
        <w:t xml:space="preserve"> enfrentan limitaciones para acceder efectivamente a</w:t>
      </w:r>
      <w:r>
        <w:rPr>
          <w:rFonts w:ascii="Noto Sans" w:hAnsi="Noto Sans" w:cs="Noto Sans"/>
          <w:b/>
          <w:bCs/>
          <w:sz w:val="20"/>
          <w:szCs w:val="20"/>
        </w:rPr>
        <w:t xml:space="preserve"> servicios de atención en salud,</w:t>
      </w:r>
      <w:r>
        <w:rPr>
          <w:rFonts w:ascii="Noto Sans" w:hAnsi="Noto Sans" w:cs="Noto Sans"/>
          <w:bCs/>
          <w:sz w:val="20"/>
          <w:szCs w:val="20"/>
        </w:rPr>
        <w:t xml:space="preserve"> </w:t>
      </w:r>
    </w:p>
    <w:p w:rsidR="00E1752C" w:rsidRPr="007715DC" w:rsidRDefault="00E1752C" w:rsidP="000903B3">
      <w:pPr>
        <w:spacing w:before="120" w:after="120" w:line="276" w:lineRule="auto"/>
        <w:jc w:val="both"/>
        <w:rPr>
          <w:rFonts w:ascii="Noto Sans" w:hAnsi="Noto Sans" w:cs="Noto Sans"/>
          <w:sz w:val="20"/>
          <w:szCs w:val="20"/>
        </w:rPr>
      </w:pPr>
      <w:r w:rsidRPr="007715DC">
        <w:rPr>
          <w:rFonts w:ascii="Noto Sans" w:hAnsi="Noto Sans" w:cs="Noto Sans"/>
          <w:sz w:val="20"/>
          <w:szCs w:val="20"/>
        </w:rPr>
        <w:t>Las causas de este problema son la deficiencia en los servicios de atención tanto ambulatorios como hospitalarios y los efectos que causan la insatisfacción en la atención, la baja cobertura del programa, incremento en patologías complicadas o en fases avanzadas sin atención</w:t>
      </w:r>
      <w:r w:rsidR="00E71F38">
        <w:rPr>
          <w:rFonts w:ascii="Noto Sans" w:hAnsi="Noto Sans" w:cs="Noto Sans"/>
          <w:sz w:val="20"/>
          <w:szCs w:val="20"/>
        </w:rPr>
        <w:t xml:space="preserve"> e insatisfacción en la atención</w:t>
      </w:r>
      <w:r w:rsidRPr="007715DC">
        <w:rPr>
          <w:rFonts w:ascii="Noto Sans" w:hAnsi="Noto Sans" w:cs="Noto Sans"/>
          <w:sz w:val="20"/>
          <w:szCs w:val="20"/>
        </w:rPr>
        <w:t>. Lo anterior lleva a un incremento en la tasa de mortalidad.</w:t>
      </w:r>
    </w:p>
    <w:p w:rsidR="00E1752C" w:rsidRPr="007715DC" w:rsidRDefault="00E1752C" w:rsidP="00E1752C">
      <w:pPr>
        <w:spacing w:before="120" w:after="120" w:line="276" w:lineRule="auto"/>
        <w:jc w:val="both"/>
        <w:rPr>
          <w:rFonts w:ascii="Noto Sans" w:hAnsi="Noto Sans" w:cs="Noto Sans"/>
          <w:sz w:val="20"/>
          <w:szCs w:val="20"/>
        </w:rPr>
      </w:pPr>
    </w:p>
    <w:tbl>
      <w:tblPr>
        <w:tblStyle w:val="Tabladecuadrcula4-nfasis5"/>
        <w:tblW w:w="4732"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257"/>
        <w:gridCol w:w="4107"/>
      </w:tblGrid>
      <w:tr w:rsidR="000C5AC9" w:rsidRPr="009E77FF" w:rsidTr="009E77FF">
        <w:trPr>
          <w:cnfStyle w:val="100000000000" w:firstRow="1" w:lastRow="0" w:firstColumn="0" w:lastColumn="0" w:oddVBand="0" w:evenVBand="0" w:oddHBand="0" w:evenHBand="0" w:firstRowFirstColumn="0" w:firstRowLastColumn="0" w:lastRowFirstColumn="0" w:lastRowLastColumn="0"/>
          <w:trHeight w:val="227"/>
          <w:tblHeader/>
          <w:jc w:val="center"/>
        </w:trPr>
        <w:tc>
          <w:tcPr>
            <w:cnfStyle w:val="001000000000" w:firstRow="0" w:lastRow="0" w:firstColumn="1" w:lastColumn="0" w:oddVBand="0" w:evenVBand="0" w:oddHBand="0" w:evenHBand="0" w:firstRowFirstColumn="0" w:firstRowLastColumn="0" w:lastRowFirstColumn="0" w:lastRowLastColumn="0"/>
            <w:tcW w:w="8364" w:type="dxa"/>
            <w:gridSpan w:val="2"/>
            <w:tcBorders>
              <w:top w:val="nil"/>
              <w:left w:val="nil"/>
              <w:bottom w:val="single" w:sz="4" w:space="0" w:color="FFFFFF" w:themeColor="background1"/>
              <w:right w:val="nil"/>
            </w:tcBorders>
            <w:shd w:val="clear" w:color="auto" w:fill="auto"/>
            <w:vAlign w:val="center"/>
          </w:tcPr>
          <w:p w:rsidR="000C5AC9" w:rsidRPr="009E77FF" w:rsidRDefault="000C5AC9" w:rsidP="000C5AC9">
            <w:pPr>
              <w:jc w:val="center"/>
              <w:rPr>
                <w:rFonts w:ascii="Noto Sans" w:hAnsi="Noto Sans" w:cs="Noto Sans"/>
                <w:sz w:val="16"/>
                <w:szCs w:val="20"/>
              </w:rPr>
            </w:pPr>
            <w:r w:rsidRPr="009E77FF">
              <w:rPr>
                <w:rFonts w:ascii="Noto Sans" w:hAnsi="Noto Sans" w:cs="Noto Sans"/>
                <w:color w:val="auto"/>
                <w:sz w:val="16"/>
                <w:szCs w:val="20"/>
              </w:rPr>
              <w:t>Estructura Analítica del Pp</w:t>
            </w:r>
          </w:p>
        </w:tc>
      </w:tr>
      <w:tr w:rsidR="001C4D5E" w:rsidRPr="009E77FF" w:rsidTr="009E77FF">
        <w:trPr>
          <w:cnfStyle w:val="100000000000" w:firstRow="1" w:lastRow="0" w:firstColumn="0" w:lastColumn="0" w:oddVBand="0" w:evenVBand="0" w:oddHBand="0" w:evenHBand="0" w:firstRowFirstColumn="0" w:firstRowLastColumn="0" w:lastRowFirstColumn="0" w:lastRowLastColumn="0"/>
          <w:trHeight w:val="533"/>
          <w:tblHeader/>
          <w:jc w:val="center"/>
        </w:trPr>
        <w:tc>
          <w:tcPr>
            <w:cnfStyle w:val="001000000000" w:firstRow="0" w:lastRow="0" w:firstColumn="1" w:lastColumn="0" w:oddVBand="0" w:evenVBand="0" w:oddHBand="0" w:evenHBand="0" w:firstRowFirstColumn="0" w:firstRowLastColumn="0" w:lastRowFirstColumn="0" w:lastRowLastColumn="0"/>
            <w:tcW w:w="42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E5B4F"/>
            <w:vAlign w:val="center"/>
          </w:tcPr>
          <w:p w:rsidR="001C4D5E" w:rsidRPr="009E77FF" w:rsidRDefault="001C4D5E" w:rsidP="001C4D5E">
            <w:pPr>
              <w:jc w:val="center"/>
              <w:rPr>
                <w:rFonts w:ascii="Noto Sans" w:hAnsi="Noto Sans" w:cs="Noto Sans"/>
                <w:sz w:val="16"/>
                <w:szCs w:val="20"/>
              </w:rPr>
            </w:pPr>
            <w:r w:rsidRPr="009E77FF">
              <w:rPr>
                <w:rFonts w:ascii="Noto Sans" w:hAnsi="Noto Sans" w:cs="Noto Sans"/>
                <w:sz w:val="16"/>
                <w:szCs w:val="20"/>
              </w:rPr>
              <w:t>Situaciones negativas derivadas del árbol del problema</w:t>
            </w:r>
          </w:p>
        </w:tc>
        <w:tc>
          <w:tcPr>
            <w:tcW w:w="245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E5B4F"/>
            <w:vAlign w:val="center"/>
          </w:tcPr>
          <w:p w:rsidR="001C4D5E" w:rsidRPr="009E77FF" w:rsidRDefault="001C4D5E" w:rsidP="009831CA">
            <w:pPr>
              <w:jc w:val="center"/>
              <w:cnfStyle w:val="100000000000" w:firstRow="1" w:lastRow="0" w:firstColumn="0" w:lastColumn="0" w:oddVBand="0" w:evenVBand="0" w:oddHBand="0" w:evenHBand="0" w:firstRowFirstColumn="0" w:firstRowLastColumn="0" w:lastRowFirstColumn="0" w:lastRowLastColumn="0"/>
              <w:rPr>
                <w:rFonts w:ascii="Noto Sans" w:hAnsi="Noto Sans" w:cs="Noto Sans"/>
                <w:sz w:val="16"/>
                <w:szCs w:val="20"/>
              </w:rPr>
            </w:pPr>
            <w:r w:rsidRPr="009E77FF">
              <w:rPr>
                <w:rFonts w:ascii="Noto Sans" w:hAnsi="Noto Sans" w:cs="Noto Sans"/>
                <w:sz w:val="16"/>
                <w:szCs w:val="20"/>
              </w:rPr>
              <w:t>Soluci</w:t>
            </w:r>
            <w:r w:rsidR="00FA6ACE" w:rsidRPr="009E77FF">
              <w:rPr>
                <w:rFonts w:ascii="Noto Sans" w:hAnsi="Noto Sans" w:cs="Noto Sans"/>
                <w:sz w:val="16"/>
                <w:szCs w:val="20"/>
              </w:rPr>
              <w:t>ón</w:t>
            </w:r>
            <w:r w:rsidRPr="009E77FF">
              <w:rPr>
                <w:rFonts w:ascii="Noto Sans" w:hAnsi="Noto Sans" w:cs="Noto Sans"/>
                <w:sz w:val="16"/>
                <w:szCs w:val="20"/>
              </w:rPr>
              <w:t xml:space="preserve"> óptima derivada del árbol de objetivos</w:t>
            </w:r>
          </w:p>
        </w:tc>
      </w:tr>
      <w:tr w:rsidR="001C4D5E" w:rsidRPr="009E77FF" w:rsidTr="009E77FF">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4252" w:type="dxa"/>
            <w:tcBorders>
              <w:top w:val="single" w:sz="4" w:space="0" w:color="FFFFFF" w:themeColor="background1"/>
            </w:tcBorders>
            <w:shd w:val="clear" w:color="auto" w:fill="C6ECE5"/>
            <w:vAlign w:val="center"/>
          </w:tcPr>
          <w:p w:rsidR="001C4D5E" w:rsidRPr="009E77FF" w:rsidRDefault="008C7649" w:rsidP="009831CA">
            <w:pPr>
              <w:jc w:val="center"/>
              <w:rPr>
                <w:rFonts w:ascii="Noto Sans" w:hAnsi="Noto Sans" w:cs="Noto Sans"/>
                <w:sz w:val="16"/>
                <w:szCs w:val="20"/>
              </w:rPr>
            </w:pPr>
            <w:r w:rsidRPr="009E77FF">
              <w:rPr>
                <w:rFonts w:ascii="Noto Sans" w:hAnsi="Noto Sans" w:cs="Noto Sans"/>
                <w:sz w:val="16"/>
                <w:szCs w:val="20"/>
              </w:rPr>
              <w:t>Efectos</w:t>
            </w:r>
          </w:p>
        </w:tc>
        <w:tc>
          <w:tcPr>
            <w:tcW w:w="5670" w:type="dxa"/>
            <w:tcBorders>
              <w:top w:val="single" w:sz="4" w:space="0" w:color="FFFFFF" w:themeColor="background1"/>
            </w:tcBorders>
            <w:shd w:val="clear" w:color="auto" w:fill="C6ECE5"/>
            <w:vAlign w:val="center"/>
          </w:tcPr>
          <w:p w:rsidR="001C4D5E" w:rsidRPr="009E77FF" w:rsidRDefault="008C7649" w:rsidP="009831CA">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b/>
                <w:bCs/>
                <w:sz w:val="16"/>
                <w:szCs w:val="20"/>
              </w:rPr>
            </w:pPr>
            <w:r w:rsidRPr="009E77FF">
              <w:rPr>
                <w:rFonts w:ascii="Noto Sans" w:hAnsi="Noto Sans" w:cs="Noto Sans"/>
                <w:b/>
                <w:bCs/>
                <w:sz w:val="16"/>
                <w:szCs w:val="20"/>
              </w:rPr>
              <w:t>Fines</w:t>
            </w:r>
          </w:p>
        </w:tc>
      </w:tr>
      <w:tr w:rsidR="001C4D5E" w:rsidRPr="009E77FF" w:rsidTr="009E77FF">
        <w:trPr>
          <w:trHeight w:val="296"/>
          <w:jc w:val="center"/>
        </w:trPr>
        <w:tc>
          <w:tcPr>
            <w:cnfStyle w:val="001000000000" w:firstRow="0" w:lastRow="0" w:firstColumn="1" w:lastColumn="0" w:oddVBand="0" w:evenVBand="0" w:oddHBand="0" w:evenHBand="0" w:firstRowFirstColumn="0" w:firstRowLastColumn="0" w:lastRowFirstColumn="0" w:lastRowLastColumn="0"/>
            <w:tcW w:w="4252" w:type="dxa"/>
            <w:shd w:val="clear" w:color="auto" w:fill="F2F2F2" w:themeFill="background1" w:themeFillShade="F2"/>
            <w:vAlign w:val="center"/>
          </w:tcPr>
          <w:p w:rsidR="001C4D5E" w:rsidRPr="00E71F38" w:rsidRDefault="00E71F38" w:rsidP="005E6276">
            <w:pPr>
              <w:pStyle w:val="Prrafodelista"/>
              <w:numPr>
                <w:ilvl w:val="0"/>
                <w:numId w:val="2"/>
              </w:numPr>
              <w:jc w:val="both"/>
              <w:rPr>
                <w:rFonts w:ascii="Noto Sans" w:hAnsi="Noto Sans" w:cs="Noto Sans"/>
                <w:sz w:val="16"/>
                <w:szCs w:val="20"/>
              </w:rPr>
            </w:pPr>
            <w:r w:rsidRPr="00E71F38">
              <w:rPr>
                <w:rFonts w:ascii="Noto Sans" w:hAnsi="Noto Sans" w:cs="Noto Sans"/>
                <w:sz w:val="16"/>
                <w:szCs w:val="20"/>
              </w:rPr>
              <w:t xml:space="preserve">Insatisfacción con la atención </w:t>
            </w:r>
            <w:r w:rsidR="00B24AC2" w:rsidRPr="009E77FF">
              <w:sym w:font="Wingdings" w:char="F0E0"/>
            </w:r>
            <w:r w:rsidR="00B24AC2" w:rsidRPr="00E71F38">
              <w:rPr>
                <w:rFonts w:ascii="Noto Sans" w:hAnsi="Noto Sans" w:cs="Noto Sans"/>
                <w:sz w:val="16"/>
                <w:szCs w:val="20"/>
              </w:rPr>
              <w:t xml:space="preserve"> Rezago en la demanda de atención de especialidad</w:t>
            </w:r>
          </w:p>
          <w:p w:rsidR="00D206CE" w:rsidRPr="009E77FF" w:rsidRDefault="00D206CE" w:rsidP="005E6276">
            <w:pPr>
              <w:pStyle w:val="Prrafodelista"/>
              <w:numPr>
                <w:ilvl w:val="0"/>
                <w:numId w:val="2"/>
              </w:numPr>
              <w:jc w:val="both"/>
              <w:rPr>
                <w:rFonts w:ascii="Noto Sans" w:hAnsi="Noto Sans" w:cs="Noto Sans"/>
                <w:sz w:val="16"/>
                <w:szCs w:val="20"/>
              </w:rPr>
            </w:pPr>
            <w:r w:rsidRPr="009E77FF">
              <w:rPr>
                <w:rFonts w:ascii="Noto Sans" w:hAnsi="Noto Sans" w:cs="Noto Sans"/>
                <w:sz w:val="16"/>
                <w:szCs w:val="20"/>
              </w:rPr>
              <w:t>Baja cobertura del programa</w:t>
            </w:r>
            <w:r w:rsidR="00B24AC2" w:rsidRPr="009E77FF">
              <w:rPr>
                <w:rFonts w:ascii="Noto Sans" w:hAnsi="Noto Sans" w:cs="Noto Sans"/>
                <w:b w:val="0"/>
                <w:bCs w:val="0"/>
                <w:sz w:val="16"/>
                <w:szCs w:val="20"/>
              </w:rPr>
              <w:sym w:font="Wingdings" w:char="F0E0"/>
            </w:r>
            <w:r w:rsidR="00B24AC2" w:rsidRPr="009E77FF">
              <w:rPr>
                <w:rFonts w:ascii="Noto Sans" w:hAnsi="Noto Sans" w:cs="Noto Sans"/>
                <w:b w:val="0"/>
                <w:bCs w:val="0"/>
                <w:sz w:val="16"/>
                <w:szCs w:val="20"/>
              </w:rPr>
              <w:t xml:space="preserve"> Mayor gasto en salud, mayor gasto de bolsillo</w:t>
            </w:r>
          </w:p>
          <w:p w:rsidR="00D206CE" w:rsidRPr="00E71F38" w:rsidRDefault="00D206CE" w:rsidP="005E6276">
            <w:pPr>
              <w:pStyle w:val="Prrafodelista"/>
              <w:numPr>
                <w:ilvl w:val="0"/>
                <w:numId w:val="2"/>
              </w:numPr>
              <w:jc w:val="both"/>
              <w:rPr>
                <w:rFonts w:ascii="Noto Sans" w:hAnsi="Noto Sans" w:cs="Noto Sans"/>
                <w:sz w:val="16"/>
                <w:szCs w:val="20"/>
              </w:rPr>
            </w:pPr>
            <w:r w:rsidRPr="009E77FF">
              <w:rPr>
                <w:rFonts w:ascii="Noto Sans" w:hAnsi="Noto Sans" w:cs="Noto Sans"/>
                <w:sz w:val="16"/>
                <w:szCs w:val="20"/>
              </w:rPr>
              <w:t>Incremento de patologías complicadas o en fases avanzadas sin atención</w:t>
            </w:r>
            <w:r w:rsidR="00B24AC2" w:rsidRPr="009E77FF">
              <w:rPr>
                <w:rFonts w:ascii="Noto Sans" w:hAnsi="Noto Sans" w:cs="Noto Sans"/>
                <w:b w:val="0"/>
                <w:bCs w:val="0"/>
                <w:sz w:val="16"/>
                <w:szCs w:val="20"/>
              </w:rPr>
              <w:sym w:font="Wingdings" w:char="F0E0"/>
            </w:r>
            <w:r w:rsidR="00B24AC2" w:rsidRPr="009E77FF">
              <w:rPr>
                <w:rFonts w:ascii="Noto Sans" w:hAnsi="Noto Sans" w:cs="Noto Sans"/>
                <w:b w:val="0"/>
                <w:bCs w:val="0"/>
                <w:sz w:val="16"/>
                <w:szCs w:val="20"/>
              </w:rPr>
              <w:t xml:space="preserve"> Mayor desgaste del profesional de la salud, años de vida pérdidos por discapacidd, reducción de años de vida útil/productividad de la población</w:t>
            </w:r>
          </w:p>
          <w:p w:rsidR="00E71F38" w:rsidRPr="00E71F38" w:rsidRDefault="00E71F38" w:rsidP="005E6276">
            <w:pPr>
              <w:pStyle w:val="Prrafodelista"/>
              <w:numPr>
                <w:ilvl w:val="0"/>
                <w:numId w:val="2"/>
              </w:numPr>
              <w:jc w:val="both"/>
              <w:rPr>
                <w:rFonts w:ascii="Noto Sans" w:hAnsi="Noto Sans" w:cs="Noto Sans"/>
                <w:sz w:val="16"/>
                <w:szCs w:val="20"/>
              </w:rPr>
            </w:pPr>
            <w:r w:rsidRPr="00E71F38">
              <w:rPr>
                <w:rFonts w:ascii="Noto Sans" w:hAnsi="Noto Sans" w:cs="Noto Sans"/>
                <w:sz w:val="16"/>
                <w:szCs w:val="20"/>
              </w:rPr>
              <w:t>Circunstancias de salud precarias entre la población sin seguridad social con dificultades de acceso a servicios de salud.</w:t>
            </w:r>
          </w:p>
          <w:p w:rsidR="00E71F38" w:rsidRPr="009E77FF" w:rsidRDefault="00E71F38" w:rsidP="00E71F38">
            <w:pPr>
              <w:pStyle w:val="Prrafodelista"/>
              <w:jc w:val="both"/>
              <w:rPr>
                <w:rFonts w:ascii="Noto Sans" w:hAnsi="Noto Sans" w:cs="Noto Sans"/>
                <w:sz w:val="16"/>
                <w:szCs w:val="20"/>
              </w:rPr>
            </w:pPr>
          </w:p>
          <w:p w:rsidR="00B24AC2" w:rsidRPr="009E77FF" w:rsidRDefault="00B24AC2" w:rsidP="00E71F38">
            <w:pPr>
              <w:pStyle w:val="Prrafodelista"/>
              <w:jc w:val="both"/>
              <w:rPr>
                <w:rFonts w:ascii="Noto Sans" w:hAnsi="Noto Sans" w:cs="Noto Sans"/>
                <w:sz w:val="16"/>
                <w:szCs w:val="20"/>
              </w:rPr>
            </w:pPr>
          </w:p>
        </w:tc>
        <w:tc>
          <w:tcPr>
            <w:tcW w:w="5670" w:type="dxa"/>
            <w:shd w:val="clear" w:color="auto" w:fill="F2F2F2" w:themeFill="background1" w:themeFillShade="F2"/>
            <w:vAlign w:val="center"/>
          </w:tcPr>
          <w:p w:rsidR="001C4D5E" w:rsidRPr="009E77FF" w:rsidRDefault="00B24AC2" w:rsidP="007715DC">
            <w:pPr>
              <w:jc w:val="both"/>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20"/>
              </w:rPr>
            </w:pPr>
            <w:r w:rsidRPr="009E77FF">
              <w:rPr>
                <w:rFonts w:ascii="Noto Sans" w:hAnsi="Noto Sans" w:cs="Noto Sans"/>
                <w:sz w:val="16"/>
                <w:szCs w:val="20"/>
              </w:rPr>
              <w:t>-</w:t>
            </w:r>
            <w:r w:rsidRPr="009E77FF">
              <w:rPr>
                <w:rFonts w:ascii="Noto Sans" w:hAnsi="Noto Sans" w:cs="Noto Sans"/>
                <w:b/>
                <w:sz w:val="16"/>
                <w:szCs w:val="20"/>
              </w:rPr>
              <w:t>mejorar la satisfacción con la atención</w:t>
            </w:r>
            <w:r w:rsidRPr="009E77FF">
              <w:rPr>
                <w:rFonts w:ascii="Noto Sans" w:hAnsi="Noto Sans" w:cs="Noto Sans"/>
                <w:sz w:val="16"/>
                <w:szCs w:val="20"/>
              </w:rPr>
              <w:sym w:font="Wingdings" w:char="F0E0"/>
            </w:r>
            <w:r w:rsidRPr="009E77FF">
              <w:rPr>
                <w:rFonts w:ascii="Noto Sans" w:hAnsi="Noto Sans" w:cs="Noto Sans"/>
                <w:sz w:val="16"/>
                <w:szCs w:val="20"/>
              </w:rPr>
              <w:t xml:space="preserve"> Optimizar la demanda de atención de especialidad</w:t>
            </w:r>
          </w:p>
          <w:p w:rsidR="00B24AC2" w:rsidRPr="009E77FF" w:rsidRDefault="00B24AC2" w:rsidP="007715DC">
            <w:pPr>
              <w:jc w:val="both"/>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20"/>
              </w:rPr>
            </w:pPr>
            <w:r w:rsidRPr="009E77FF">
              <w:rPr>
                <w:rFonts w:ascii="Noto Sans" w:hAnsi="Noto Sans" w:cs="Noto Sans"/>
                <w:b/>
                <w:sz w:val="16"/>
                <w:szCs w:val="20"/>
              </w:rPr>
              <w:t>Incremento en la cobertura del programa</w:t>
            </w:r>
            <w:r w:rsidRPr="009E77FF">
              <w:rPr>
                <w:rFonts w:ascii="Noto Sans" w:hAnsi="Noto Sans" w:cs="Noto Sans"/>
                <w:sz w:val="16"/>
                <w:szCs w:val="20"/>
              </w:rPr>
              <w:sym w:font="Wingdings" w:char="F0E0"/>
            </w:r>
            <w:r w:rsidRPr="009E77FF">
              <w:rPr>
                <w:rFonts w:ascii="Noto Sans" w:hAnsi="Noto Sans" w:cs="Noto Sans"/>
                <w:sz w:val="16"/>
                <w:szCs w:val="20"/>
              </w:rPr>
              <w:t>Menor gasto en salud y contribuir a disminuir el gasto de bolsillo de las familias</w:t>
            </w:r>
          </w:p>
          <w:p w:rsidR="00B24AC2" w:rsidRPr="009E77FF" w:rsidRDefault="00B24AC2" w:rsidP="005E6276">
            <w:pPr>
              <w:pStyle w:val="Prrafodelista"/>
              <w:numPr>
                <w:ilvl w:val="0"/>
                <w:numId w:val="2"/>
              </w:numPr>
              <w:jc w:val="both"/>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20"/>
              </w:rPr>
            </w:pPr>
            <w:r w:rsidRPr="009E77FF">
              <w:rPr>
                <w:rFonts w:ascii="Noto Sans" w:hAnsi="Noto Sans" w:cs="Noto Sans"/>
                <w:b/>
                <w:sz w:val="16"/>
                <w:szCs w:val="20"/>
              </w:rPr>
              <w:t>Disminuir y/o retrasar las patologíascomplicadas o en fases avanzadas sin atención</w:t>
            </w:r>
            <w:r w:rsidRPr="009E77FF">
              <w:rPr>
                <w:rFonts w:ascii="Noto Sans" w:hAnsi="Noto Sans" w:cs="Noto Sans"/>
                <w:sz w:val="16"/>
                <w:szCs w:val="20"/>
              </w:rPr>
              <w:sym w:font="Wingdings" w:char="F0E0"/>
            </w:r>
            <w:r w:rsidRPr="009E77FF">
              <w:rPr>
                <w:rFonts w:ascii="Noto Sans" w:hAnsi="Noto Sans" w:cs="Noto Sans"/>
                <w:sz w:val="16"/>
                <w:szCs w:val="20"/>
              </w:rPr>
              <w:t>Disminuir el desgaste del profesional de la salud, menos años de vida pérdidos por discapacidad y el aumento de años de vida útil/productiva de la población</w:t>
            </w:r>
          </w:p>
          <w:p w:rsidR="00E71F38" w:rsidRPr="00E71F38" w:rsidRDefault="00E71F38" w:rsidP="005E6276">
            <w:pPr>
              <w:pStyle w:val="Prrafodelista"/>
              <w:numPr>
                <w:ilvl w:val="0"/>
                <w:numId w:val="2"/>
              </w:numPr>
              <w:jc w:val="both"/>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20"/>
              </w:rPr>
            </w:pPr>
            <w:r w:rsidRPr="00E71F38">
              <w:rPr>
                <w:rFonts w:ascii="Noto Sans" w:hAnsi="Noto Sans" w:cs="Noto Sans"/>
                <w:sz w:val="16"/>
                <w:szCs w:val="20"/>
              </w:rPr>
              <w:t>Mejorar las condiciones de salud de la población sin seguridad social mediante el acceso oportuno y efectivo a servicios de salud.</w:t>
            </w:r>
          </w:p>
          <w:p w:rsidR="00B24AC2" w:rsidRPr="00E71F38" w:rsidRDefault="00B24AC2" w:rsidP="00E71F38">
            <w:pPr>
              <w:ind w:left="360"/>
              <w:jc w:val="both"/>
              <w:cnfStyle w:val="000000000000" w:firstRow="0" w:lastRow="0" w:firstColumn="0" w:lastColumn="0" w:oddVBand="0" w:evenVBand="0" w:oddHBand="0" w:evenHBand="0" w:firstRowFirstColumn="0" w:firstRowLastColumn="0" w:lastRowFirstColumn="0" w:lastRowLastColumn="0"/>
              <w:rPr>
                <w:rFonts w:ascii="Noto Sans" w:hAnsi="Noto Sans" w:cs="Noto Sans"/>
                <w:sz w:val="16"/>
                <w:szCs w:val="20"/>
              </w:rPr>
            </w:pPr>
          </w:p>
        </w:tc>
      </w:tr>
      <w:tr w:rsidR="000B26E6" w:rsidRPr="009E77FF" w:rsidTr="009E77FF">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4252" w:type="dxa"/>
            <w:shd w:val="clear" w:color="auto" w:fill="C6ECE5"/>
            <w:vAlign w:val="center"/>
          </w:tcPr>
          <w:p w:rsidR="001C4D5E" w:rsidRPr="009E77FF" w:rsidRDefault="000B26E6" w:rsidP="009831CA">
            <w:pPr>
              <w:jc w:val="center"/>
              <w:rPr>
                <w:rFonts w:ascii="Noto Sans" w:hAnsi="Noto Sans" w:cs="Noto Sans"/>
                <w:sz w:val="16"/>
                <w:szCs w:val="20"/>
              </w:rPr>
            </w:pPr>
            <w:r w:rsidRPr="009E77FF">
              <w:rPr>
                <w:rFonts w:ascii="Noto Sans" w:hAnsi="Noto Sans" w:cs="Noto Sans"/>
                <w:sz w:val="16"/>
                <w:szCs w:val="20"/>
              </w:rPr>
              <w:t>Problema central</w:t>
            </w:r>
          </w:p>
        </w:tc>
        <w:tc>
          <w:tcPr>
            <w:tcW w:w="5670" w:type="dxa"/>
            <w:shd w:val="clear" w:color="auto" w:fill="C6ECE5"/>
            <w:vAlign w:val="center"/>
          </w:tcPr>
          <w:p w:rsidR="001C4D5E" w:rsidRPr="009E77FF" w:rsidRDefault="000B26E6" w:rsidP="009831CA">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b/>
                <w:bCs/>
                <w:sz w:val="16"/>
                <w:szCs w:val="20"/>
              </w:rPr>
            </w:pPr>
            <w:r w:rsidRPr="009E77FF">
              <w:rPr>
                <w:rFonts w:ascii="Noto Sans" w:hAnsi="Noto Sans" w:cs="Noto Sans"/>
                <w:b/>
                <w:bCs/>
                <w:sz w:val="16"/>
                <w:szCs w:val="20"/>
              </w:rPr>
              <w:t>Objetivo central</w:t>
            </w:r>
          </w:p>
        </w:tc>
      </w:tr>
      <w:tr w:rsidR="001C4D5E" w:rsidRPr="009E77FF" w:rsidTr="009E77FF">
        <w:trPr>
          <w:trHeight w:val="296"/>
          <w:jc w:val="center"/>
        </w:trPr>
        <w:tc>
          <w:tcPr>
            <w:cnfStyle w:val="001000000000" w:firstRow="0" w:lastRow="0" w:firstColumn="1" w:lastColumn="0" w:oddVBand="0" w:evenVBand="0" w:oddHBand="0" w:evenHBand="0" w:firstRowFirstColumn="0" w:firstRowLastColumn="0" w:lastRowFirstColumn="0" w:lastRowLastColumn="0"/>
            <w:tcW w:w="4252" w:type="dxa"/>
            <w:shd w:val="clear" w:color="auto" w:fill="F2F2F2" w:themeFill="background1" w:themeFillShade="F2"/>
            <w:vAlign w:val="center"/>
          </w:tcPr>
          <w:p w:rsidR="007F123B" w:rsidRPr="007F123B" w:rsidRDefault="007F123B" w:rsidP="007F123B">
            <w:pPr>
              <w:jc w:val="both"/>
              <w:rPr>
                <w:rFonts w:ascii="Noto Sans" w:hAnsi="Noto Sans" w:cs="Noto Sans"/>
                <w:sz w:val="16"/>
                <w:szCs w:val="20"/>
              </w:rPr>
            </w:pPr>
            <w:r w:rsidRPr="007F123B">
              <w:rPr>
                <w:rFonts w:ascii="Noto Sans" w:hAnsi="Noto Sans" w:cs="Noto Sans"/>
                <w:sz w:val="16"/>
                <w:szCs w:val="20"/>
              </w:rPr>
              <w:t>Las personas sin seguridad social que presentan padecimientos de especialidad y alta especialidad enfrentan limitaciones para acceder efectivamente a servicios de atención en salud.</w:t>
            </w:r>
          </w:p>
          <w:p w:rsidR="001C4D5E" w:rsidRPr="009E77FF" w:rsidRDefault="001C4D5E" w:rsidP="007715DC">
            <w:pPr>
              <w:jc w:val="both"/>
              <w:rPr>
                <w:rFonts w:ascii="Noto Sans" w:hAnsi="Noto Sans" w:cs="Noto Sans"/>
                <w:sz w:val="16"/>
                <w:szCs w:val="20"/>
              </w:rPr>
            </w:pPr>
          </w:p>
        </w:tc>
        <w:tc>
          <w:tcPr>
            <w:tcW w:w="5670" w:type="dxa"/>
            <w:shd w:val="clear" w:color="auto" w:fill="F2F2F2" w:themeFill="background1" w:themeFillShade="F2"/>
            <w:vAlign w:val="center"/>
          </w:tcPr>
          <w:p w:rsidR="007F123B" w:rsidRPr="007F123B" w:rsidRDefault="007F123B" w:rsidP="007F123B">
            <w:pPr>
              <w:jc w:val="both"/>
              <w:cnfStyle w:val="000000000000" w:firstRow="0" w:lastRow="0" w:firstColumn="0" w:lastColumn="0" w:oddVBand="0" w:evenVBand="0" w:oddHBand="0" w:evenHBand="0" w:firstRowFirstColumn="0" w:firstRowLastColumn="0" w:lastRowFirstColumn="0" w:lastRowLastColumn="0"/>
              <w:rPr>
                <w:rFonts w:ascii="Noto Sans" w:hAnsi="Noto Sans" w:cs="Noto Sans"/>
                <w:b/>
                <w:sz w:val="16"/>
                <w:szCs w:val="20"/>
              </w:rPr>
            </w:pPr>
            <w:r w:rsidRPr="007F123B">
              <w:rPr>
                <w:rFonts w:ascii="Noto Sans" w:hAnsi="Noto Sans" w:cs="Noto Sans"/>
                <w:b/>
                <w:bCs/>
                <w:sz w:val="16"/>
                <w:szCs w:val="20"/>
              </w:rPr>
              <w:t>Las personas sin seguridad social que presentan padecimientos de especialidad y alta especialidad acceden efectivamente a los servicios de atención en salud.</w:t>
            </w:r>
          </w:p>
          <w:p w:rsidR="001C4D5E" w:rsidRPr="009E77FF" w:rsidRDefault="001C4D5E" w:rsidP="007715DC">
            <w:pPr>
              <w:jc w:val="both"/>
              <w:cnfStyle w:val="000000000000" w:firstRow="0" w:lastRow="0" w:firstColumn="0" w:lastColumn="0" w:oddVBand="0" w:evenVBand="0" w:oddHBand="0" w:evenHBand="0" w:firstRowFirstColumn="0" w:firstRowLastColumn="0" w:lastRowFirstColumn="0" w:lastRowLastColumn="0"/>
              <w:rPr>
                <w:rFonts w:ascii="Noto Sans" w:hAnsi="Noto Sans" w:cs="Noto Sans"/>
                <w:b/>
                <w:sz w:val="16"/>
                <w:szCs w:val="20"/>
              </w:rPr>
            </w:pPr>
          </w:p>
        </w:tc>
      </w:tr>
      <w:tr w:rsidR="004C0A42" w:rsidRPr="009E77FF" w:rsidTr="009E77FF">
        <w:trPr>
          <w:cnfStyle w:val="000000100000" w:firstRow="0" w:lastRow="0" w:firstColumn="0" w:lastColumn="0" w:oddVBand="0" w:evenVBand="0" w:oddHBand="1" w:evenHBand="0" w:firstRowFirstColumn="0" w:firstRowLastColumn="0" w:lastRowFirstColumn="0" w:lastRowLastColumn="0"/>
          <w:trHeight w:val="296"/>
          <w:jc w:val="center"/>
        </w:trPr>
        <w:tc>
          <w:tcPr>
            <w:cnfStyle w:val="001000000000" w:firstRow="0" w:lastRow="0" w:firstColumn="1" w:lastColumn="0" w:oddVBand="0" w:evenVBand="0" w:oddHBand="0" w:evenHBand="0" w:firstRowFirstColumn="0" w:firstRowLastColumn="0" w:lastRowFirstColumn="0" w:lastRowLastColumn="0"/>
            <w:tcW w:w="4252" w:type="dxa"/>
            <w:shd w:val="clear" w:color="auto" w:fill="C6ECE5"/>
            <w:vAlign w:val="center"/>
          </w:tcPr>
          <w:p w:rsidR="001C4D5E" w:rsidRPr="009E77FF" w:rsidRDefault="004C0A42" w:rsidP="009831CA">
            <w:pPr>
              <w:jc w:val="center"/>
              <w:rPr>
                <w:rFonts w:ascii="Noto Sans" w:hAnsi="Noto Sans" w:cs="Noto Sans"/>
                <w:sz w:val="16"/>
                <w:szCs w:val="20"/>
              </w:rPr>
            </w:pPr>
            <w:r w:rsidRPr="009E77FF">
              <w:rPr>
                <w:rFonts w:ascii="Noto Sans" w:hAnsi="Noto Sans" w:cs="Noto Sans"/>
                <w:sz w:val="16"/>
                <w:szCs w:val="20"/>
              </w:rPr>
              <w:lastRenderedPageBreak/>
              <w:t>Causas</w:t>
            </w:r>
          </w:p>
        </w:tc>
        <w:tc>
          <w:tcPr>
            <w:tcW w:w="5670" w:type="dxa"/>
            <w:shd w:val="clear" w:color="auto" w:fill="C6ECE5"/>
            <w:vAlign w:val="center"/>
          </w:tcPr>
          <w:p w:rsidR="001C4D5E" w:rsidRPr="009E77FF" w:rsidRDefault="004C0A42" w:rsidP="009831CA">
            <w:pPr>
              <w:jc w:val="center"/>
              <w:cnfStyle w:val="000000100000" w:firstRow="0" w:lastRow="0" w:firstColumn="0" w:lastColumn="0" w:oddVBand="0" w:evenVBand="0" w:oddHBand="1" w:evenHBand="0" w:firstRowFirstColumn="0" w:firstRowLastColumn="0" w:lastRowFirstColumn="0" w:lastRowLastColumn="0"/>
              <w:rPr>
                <w:rFonts w:ascii="Noto Sans" w:hAnsi="Noto Sans" w:cs="Noto Sans"/>
                <w:b/>
                <w:bCs/>
                <w:sz w:val="16"/>
                <w:szCs w:val="20"/>
              </w:rPr>
            </w:pPr>
            <w:r w:rsidRPr="009E77FF">
              <w:rPr>
                <w:rFonts w:ascii="Noto Sans" w:hAnsi="Noto Sans" w:cs="Noto Sans"/>
                <w:b/>
                <w:bCs/>
                <w:sz w:val="16"/>
                <w:szCs w:val="20"/>
              </w:rPr>
              <w:t>Medios</w:t>
            </w:r>
          </w:p>
        </w:tc>
      </w:tr>
      <w:tr w:rsidR="001C4D5E" w:rsidRPr="009E77FF" w:rsidTr="009E77FF">
        <w:trPr>
          <w:trHeight w:val="296"/>
          <w:jc w:val="center"/>
        </w:trPr>
        <w:tc>
          <w:tcPr>
            <w:cnfStyle w:val="001000000000" w:firstRow="0" w:lastRow="0" w:firstColumn="1" w:lastColumn="0" w:oddVBand="0" w:evenVBand="0" w:oddHBand="0" w:evenHBand="0" w:firstRowFirstColumn="0" w:firstRowLastColumn="0" w:lastRowFirstColumn="0" w:lastRowLastColumn="0"/>
            <w:tcW w:w="4252" w:type="dxa"/>
            <w:shd w:val="clear" w:color="auto" w:fill="F2F2F2" w:themeFill="background1" w:themeFillShade="F2"/>
            <w:vAlign w:val="center"/>
          </w:tcPr>
          <w:p w:rsidR="001C4D5E" w:rsidRPr="009E77FF" w:rsidRDefault="00B24AC2" w:rsidP="005E6276">
            <w:pPr>
              <w:pStyle w:val="Prrafodelista"/>
              <w:numPr>
                <w:ilvl w:val="0"/>
                <w:numId w:val="2"/>
              </w:numPr>
              <w:jc w:val="both"/>
              <w:rPr>
                <w:rFonts w:ascii="Noto Sans" w:hAnsi="Noto Sans" w:cs="Noto Sans"/>
                <w:sz w:val="16"/>
                <w:szCs w:val="20"/>
              </w:rPr>
            </w:pPr>
            <w:r w:rsidRPr="009E77FF">
              <w:rPr>
                <w:rFonts w:ascii="Noto Sans" w:hAnsi="Noto Sans" w:cs="Noto Sans"/>
                <w:sz w:val="16"/>
                <w:szCs w:val="20"/>
              </w:rPr>
              <w:t>Deficiente servicios de atención ambulatorio</w:t>
            </w:r>
          </w:p>
          <w:p w:rsidR="00B24AC2" w:rsidRPr="009E77FF" w:rsidRDefault="00B24AC2" w:rsidP="005E6276">
            <w:pPr>
              <w:pStyle w:val="Prrafodelista"/>
              <w:numPr>
                <w:ilvl w:val="0"/>
                <w:numId w:val="2"/>
              </w:numPr>
              <w:jc w:val="both"/>
              <w:rPr>
                <w:rFonts w:ascii="Noto Sans" w:hAnsi="Noto Sans" w:cs="Noto Sans"/>
                <w:sz w:val="16"/>
                <w:szCs w:val="20"/>
              </w:rPr>
            </w:pPr>
            <w:r w:rsidRPr="009E77FF">
              <w:rPr>
                <w:rFonts w:ascii="Noto Sans" w:hAnsi="Noto Sans" w:cs="Noto Sans"/>
                <w:sz w:val="16"/>
                <w:szCs w:val="20"/>
              </w:rPr>
              <w:t>Deficientes servicios de atención hospitalaria</w:t>
            </w:r>
          </w:p>
        </w:tc>
        <w:tc>
          <w:tcPr>
            <w:tcW w:w="5670" w:type="dxa"/>
            <w:shd w:val="clear" w:color="auto" w:fill="F2F2F2" w:themeFill="background1" w:themeFillShade="F2"/>
            <w:vAlign w:val="center"/>
          </w:tcPr>
          <w:p w:rsidR="001C4D5E" w:rsidRPr="009E77FF" w:rsidRDefault="00B24AC2" w:rsidP="007715DC">
            <w:pPr>
              <w:jc w:val="both"/>
              <w:cnfStyle w:val="000000000000" w:firstRow="0" w:lastRow="0" w:firstColumn="0" w:lastColumn="0" w:oddVBand="0" w:evenVBand="0" w:oddHBand="0" w:evenHBand="0" w:firstRowFirstColumn="0" w:firstRowLastColumn="0" w:lastRowFirstColumn="0" w:lastRowLastColumn="0"/>
              <w:rPr>
                <w:rFonts w:ascii="Noto Sans" w:hAnsi="Noto Sans" w:cs="Noto Sans"/>
                <w:b/>
                <w:sz w:val="16"/>
                <w:szCs w:val="20"/>
              </w:rPr>
            </w:pPr>
            <w:r w:rsidRPr="009E77FF">
              <w:rPr>
                <w:rFonts w:ascii="Noto Sans" w:hAnsi="Noto Sans" w:cs="Noto Sans"/>
                <w:b/>
                <w:sz w:val="16"/>
                <w:szCs w:val="20"/>
              </w:rPr>
              <w:t>Suficientes servicios de atención ambulatoria y hospitalaria</w:t>
            </w:r>
          </w:p>
        </w:tc>
      </w:tr>
    </w:tbl>
    <w:p w:rsidR="000C5AC9" w:rsidRPr="009E77FF" w:rsidRDefault="000C5AC9">
      <w:pPr>
        <w:spacing w:after="160" w:line="259" w:lineRule="auto"/>
        <w:rPr>
          <w:rFonts w:ascii="Noto Sans" w:hAnsi="Noto Sans" w:cs="Noto Sans"/>
          <w:sz w:val="20"/>
          <w:szCs w:val="20"/>
        </w:rPr>
      </w:pPr>
    </w:p>
    <w:p w:rsidR="00B70D5C" w:rsidRPr="009E77FF" w:rsidRDefault="00B70D5C" w:rsidP="005E6276">
      <w:pPr>
        <w:pStyle w:val="Ttulo1"/>
        <w:numPr>
          <w:ilvl w:val="0"/>
          <w:numId w:val="1"/>
        </w:numPr>
        <w:spacing w:before="120" w:after="120" w:line="276" w:lineRule="auto"/>
        <w:rPr>
          <w:rFonts w:ascii="Noto Sans" w:hAnsi="Noto Sans" w:cs="Noto Sans"/>
          <w:b/>
          <w:color w:val="1E5B4F"/>
          <w:sz w:val="20"/>
          <w:szCs w:val="20"/>
        </w:rPr>
      </w:pPr>
      <w:bookmarkStart w:id="14" w:name="_Toc201830231"/>
      <w:r w:rsidRPr="009E77FF">
        <w:rPr>
          <w:rFonts w:ascii="Noto Sans" w:hAnsi="Noto Sans" w:cs="Noto Sans"/>
          <w:b/>
          <w:color w:val="1E5B4F"/>
          <w:sz w:val="20"/>
          <w:szCs w:val="20"/>
        </w:rPr>
        <w:t>Vinculación con la Planeación Nacional del Desarrollo</w:t>
      </w:r>
      <w:bookmarkEnd w:id="14"/>
    </w:p>
    <w:p w:rsidR="00ED512E" w:rsidRPr="007715DC" w:rsidRDefault="00ED512E" w:rsidP="007715DC">
      <w:pPr>
        <w:spacing w:before="120" w:after="120" w:line="276" w:lineRule="auto"/>
        <w:jc w:val="both"/>
        <w:rPr>
          <w:rFonts w:ascii="Noto Sans" w:hAnsi="Noto Sans" w:cs="Noto Sans"/>
          <w:sz w:val="20"/>
          <w:szCs w:val="20"/>
        </w:rPr>
      </w:pPr>
      <w:r w:rsidRPr="007715DC">
        <w:rPr>
          <w:rFonts w:ascii="Noto Sans" w:hAnsi="Noto Sans" w:cs="Noto Sans"/>
          <w:sz w:val="20"/>
          <w:szCs w:val="20"/>
        </w:rPr>
        <w:t>EL PpE031 se vincula directamente con el</w:t>
      </w:r>
      <w:r w:rsidR="0079049A" w:rsidRPr="007715DC">
        <w:rPr>
          <w:rFonts w:ascii="Noto Sans" w:hAnsi="Noto Sans" w:cs="Noto Sans"/>
          <w:sz w:val="20"/>
          <w:szCs w:val="20"/>
        </w:rPr>
        <w:t xml:space="preserve"> </w:t>
      </w:r>
      <w:r w:rsidRPr="007715DC">
        <w:rPr>
          <w:rFonts w:ascii="Noto Sans" w:hAnsi="Noto Sans" w:cs="Noto Sans"/>
          <w:sz w:val="20"/>
          <w:szCs w:val="20"/>
        </w:rPr>
        <w:t>punto 2 del Programa Nacional de Desarrollo</w:t>
      </w:r>
      <w:r w:rsidR="00F67E89" w:rsidRPr="007715DC">
        <w:rPr>
          <w:rFonts w:ascii="Noto Sans" w:hAnsi="Noto Sans" w:cs="Noto Sans"/>
          <w:sz w:val="20"/>
          <w:szCs w:val="20"/>
        </w:rPr>
        <w:t xml:space="preserve"> 2025-2030,</w:t>
      </w:r>
      <w:r w:rsidRPr="007715DC">
        <w:rPr>
          <w:rFonts w:ascii="Noto Sans" w:hAnsi="Noto Sans" w:cs="Noto Sans"/>
          <w:sz w:val="20"/>
          <w:szCs w:val="20"/>
        </w:rPr>
        <w:t xml:space="preserve"> el cual es Desarrollo con bienestar y humanismo. Dentro de este se encuentra alineado directamente con el enfoque 2.7, el cuál es garantizar el derecho a la protección de la salud par toda la población mexicana mediante la consolidación y modernización del sistema de salud, con un enfoque de acceso universal que cierre las brechas de calidad y oportunidad, protegiendo al bienestar físico, mental y social de la población.</w:t>
      </w:r>
    </w:p>
    <w:p w:rsidR="00ED512E" w:rsidRPr="007715DC" w:rsidRDefault="00ED512E" w:rsidP="007715DC">
      <w:pPr>
        <w:spacing w:before="120" w:after="120" w:line="276" w:lineRule="auto"/>
        <w:jc w:val="both"/>
        <w:rPr>
          <w:rFonts w:ascii="Noto Sans" w:hAnsi="Noto Sans" w:cs="Noto Sans"/>
          <w:sz w:val="20"/>
          <w:szCs w:val="20"/>
        </w:rPr>
      </w:pPr>
      <w:r w:rsidRPr="007715DC">
        <w:rPr>
          <w:rFonts w:ascii="Noto Sans" w:hAnsi="Noto Sans" w:cs="Noto Sans"/>
          <w:sz w:val="20"/>
          <w:szCs w:val="20"/>
        </w:rPr>
        <w:t>En cuanto a las estrategias, el objetivo central del programa puede ser obtenido mediante las estrategias:</w:t>
      </w:r>
    </w:p>
    <w:p w:rsidR="00ED512E" w:rsidRPr="007715DC" w:rsidRDefault="00ED512E" w:rsidP="005E6276">
      <w:pPr>
        <w:pStyle w:val="Prrafodelista"/>
        <w:numPr>
          <w:ilvl w:val="0"/>
          <w:numId w:val="2"/>
        </w:numPr>
        <w:spacing w:before="120" w:after="120" w:line="276" w:lineRule="auto"/>
        <w:jc w:val="both"/>
        <w:rPr>
          <w:rFonts w:ascii="Noto Sans" w:hAnsi="Noto Sans" w:cs="Noto Sans"/>
          <w:sz w:val="20"/>
          <w:szCs w:val="20"/>
        </w:rPr>
      </w:pPr>
      <w:r w:rsidRPr="007715DC">
        <w:rPr>
          <w:rFonts w:ascii="Noto Sans" w:hAnsi="Noto Sans" w:cs="Noto Sans"/>
          <w:sz w:val="20"/>
          <w:szCs w:val="20"/>
        </w:rPr>
        <w:t xml:space="preserve">2.7.2 Reforzar las políticas de salud colectiva, tomando en consideración prácticas médicas tradicionales respaldadas científicamente, que prioricen la detección, prevención y atención de enfermedades, así como la promoción de la salud, contribuyendo al bienestar poblacional a través del Sistema Nacional de Salud Pública. </w:t>
      </w:r>
    </w:p>
    <w:p w:rsidR="00ED512E" w:rsidRPr="007715DC" w:rsidRDefault="00ED512E" w:rsidP="005E6276">
      <w:pPr>
        <w:pStyle w:val="Prrafodelista"/>
        <w:numPr>
          <w:ilvl w:val="0"/>
          <w:numId w:val="2"/>
        </w:numPr>
        <w:spacing w:before="120" w:after="120" w:line="276" w:lineRule="auto"/>
        <w:jc w:val="both"/>
        <w:rPr>
          <w:rFonts w:ascii="Noto Sans" w:hAnsi="Noto Sans" w:cs="Noto Sans"/>
          <w:sz w:val="20"/>
          <w:szCs w:val="20"/>
        </w:rPr>
      </w:pPr>
      <w:r w:rsidRPr="007715DC">
        <w:rPr>
          <w:rFonts w:ascii="Noto Sans" w:hAnsi="Noto Sans" w:cs="Noto Sans"/>
          <w:sz w:val="20"/>
          <w:szCs w:val="20"/>
        </w:rPr>
        <w:t xml:space="preserve">2.7.3 Implementar políticas mediante el Sistema Nacional de Salud Pública que aseguren atención a los grupos en situación de vulnerabilidad, con énfasis en población indígena, afromexicana, migrante o con discapacidad. </w:t>
      </w:r>
    </w:p>
    <w:p w:rsidR="00ED512E" w:rsidRPr="007715DC" w:rsidRDefault="00ED512E" w:rsidP="005E6276">
      <w:pPr>
        <w:pStyle w:val="Prrafodelista"/>
        <w:numPr>
          <w:ilvl w:val="0"/>
          <w:numId w:val="2"/>
        </w:numPr>
        <w:spacing w:before="120" w:after="120" w:line="276" w:lineRule="auto"/>
        <w:jc w:val="both"/>
        <w:rPr>
          <w:rFonts w:ascii="Noto Sans" w:hAnsi="Noto Sans" w:cs="Noto Sans"/>
          <w:sz w:val="20"/>
          <w:szCs w:val="20"/>
        </w:rPr>
      </w:pPr>
      <w:r w:rsidRPr="007715DC">
        <w:rPr>
          <w:rFonts w:ascii="Noto Sans" w:hAnsi="Noto Sans" w:cs="Noto Sans"/>
          <w:sz w:val="20"/>
          <w:szCs w:val="20"/>
        </w:rPr>
        <w:t>2.7.4 Promover la igualdad sustantiva a través de información y servicios de salud sexual y reproductiva en la adolescencia, etapa pregestacional, embarazo, parto y puerperio, erradicando la violencia obstétrica, sexual y de género</w:t>
      </w:r>
    </w:p>
    <w:p w:rsidR="00ED512E" w:rsidRPr="007715DC" w:rsidRDefault="00ED512E" w:rsidP="005E6276">
      <w:pPr>
        <w:pStyle w:val="Prrafodelista"/>
        <w:numPr>
          <w:ilvl w:val="0"/>
          <w:numId w:val="2"/>
        </w:numPr>
        <w:spacing w:before="120" w:after="120" w:line="276" w:lineRule="auto"/>
        <w:jc w:val="both"/>
        <w:rPr>
          <w:rFonts w:ascii="Noto Sans" w:hAnsi="Noto Sans" w:cs="Noto Sans"/>
          <w:sz w:val="20"/>
          <w:szCs w:val="20"/>
        </w:rPr>
      </w:pPr>
      <w:r w:rsidRPr="007715DC">
        <w:rPr>
          <w:rFonts w:ascii="Noto Sans" w:hAnsi="Noto Sans" w:cs="Noto Sans"/>
          <w:sz w:val="20"/>
          <w:szCs w:val="20"/>
        </w:rPr>
        <w:t>2.7.5 Implementar acciones de promoción y prevención en salud mental, brindando atención integral con ética, calidad y respeto a lo largo de la vida.</w:t>
      </w:r>
    </w:p>
    <w:p w:rsidR="00206829" w:rsidRPr="007715DC" w:rsidRDefault="00206829" w:rsidP="005E6276">
      <w:pPr>
        <w:pStyle w:val="Prrafodelista"/>
        <w:numPr>
          <w:ilvl w:val="0"/>
          <w:numId w:val="2"/>
        </w:numPr>
        <w:spacing w:before="120" w:after="120" w:line="276" w:lineRule="auto"/>
        <w:jc w:val="both"/>
        <w:rPr>
          <w:rFonts w:ascii="Noto Sans" w:hAnsi="Noto Sans" w:cs="Noto Sans"/>
          <w:sz w:val="20"/>
          <w:szCs w:val="20"/>
        </w:rPr>
      </w:pPr>
      <w:r w:rsidRPr="007715DC">
        <w:rPr>
          <w:rFonts w:ascii="Noto Sans" w:hAnsi="Noto Sans" w:cs="Noto Sans"/>
          <w:sz w:val="20"/>
          <w:szCs w:val="20"/>
        </w:rPr>
        <w:t>2.7.6 Garantizar la entrega oportuna de insumos de salud en los tres niveles de atención, acorde a las necesidades de la población</w:t>
      </w:r>
      <w:r w:rsidR="00ED512E" w:rsidRPr="007715DC">
        <w:rPr>
          <w:rFonts w:ascii="Noto Sans" w:hAnsi="Noto Sans" w:cs="Noto Sans"/>
          <w:sz w:val="20"/>
          <w:szCs w:val="20"/>
        </w:rPr>
        <w:t xml:space="preserve">. </w:t>
      </w:r>
    </w:p>
    <w:p w:rsidR="00206829" w:rsidRPr="007715DC" w:rsidRDefault="00206829" w:rsidP="005E6276">
      <w:pPr>
        <w:pStyle w:val="Prrafodelista"/>
        <w:numPr>
          <w:ilvl w:val="0"/>
          <w:numId w:val="2"/>
        </w:numPr>
        <w:spacing w:before="120" w:after="120" w:line="276" w:lineRule="auto"/>
        <w:jc w:val="both"/>
        <w:rPr>
          <w:rFonts w:ascii="Noto Sans" w:hAnsi="Noto Sans" w:cs="Noto Sans"/>
          <w:sz w:val="20"/>
          <w:szCs w:val="20"/>
        </w:rPr>
      </w:pPr>
      <w:r w:rsidRPr="007715DC">
        <w:rPr>
          <w:rFonts w:ascii="Noto Sans" w:hAnsi="Noto Sans" w:cs="Noto Sans"/>
          <w:sz w:val="20"/>
          <w:szCs w:val="20"/>
        </w:rPr>
        <w:t xml:space="preserve">2.7.8 Fortalecer programas específicos en salud, nutrición y desarrollo para la primera infancia, niñez y adolescencia. </w:t>
      </w:r>
    </w:p>
    <w:p w:rsidR="00206829" w:rsidRPr="007715DC" w:rsidRDefault="00206829" w:rsidP="005E6276">
      <w:pPr>
        <w:pStyle w:val="Prrafodelista"/>
        <w:numPr>
          <w:ilvl w:val="0"/>
          <w:numId w:val="2"/>
        </w:numPr>
        <w:spacing w:before="120" w:after="120" w:line="276" w:lineRule="auto"/>
        <w:jc w:val="both"/>
        <w:rPr>
          <w:rFonts w:ascii="Noto Sans" w:hAnsi="Noto Sans" w:cs="Noto Sans"/>
          <w:sz w:val="20"/>
          <w:szCs w:val="20"/>
        </w:rPr>
      </w:pPr>
      <w:r w:rsidRPr="007715DC">
        <w:rPr>
          <w:rFonts w:ascii="Noto Sans" w:hAnsi="Noto Sans" w:cs="Noto Sans"/>
          <w:sz w:val="20"/>
          <w:szCs w:val="20"/>
        </w:rPr>
        <w:t xml:space="preserve">2.7.9 Garantizar la atención médica integral y de calidad para las personas adultas mayores, considerando sus necesidades y preferencias, y contribuyendo a la construcción de una sociedad de cuidados. </w:t>
      </w:r>
    </w:p>
    <w:p w:rsidR="00206829" w:rsidRPr="007715DC" w:rsidRDefault="00206829" w:rsidP="005E6276">
      <w:pPr>
        <w:pStyle w:val="Prrafodelista"/>
        <w:numPr>
          <w:ilvl w:val="0"/>
          <w:numId w:val="2"/>
        </w:numPr>
        <w:spacing w:before="120" w:after="120" w:line="276" w:lineRule="auto"/>
        <w:jc w:val="both"/>
        <w:rPr>
          <w:rFonts w:ascii="Noto Sans" w:hAnsi="Noto Sans" w:cs="Noto Sans"/>
          <w:sz w:val="20"/>
          <w:szCs w:val="20"/>
        </w:rPr>
      </w:pPr>
      <w:r w:rsidRPr="007715DC">
        <w:rPr>
          <w:rFonts w:ascii="Noto Sans" w:hAnsi="Noto Sans" w:cs="Noto Sans"/>
          <w:sz w:val="20"/>
          <w:szCs w:val="20"/>
        </w:rPr>
        <w:t xml:space="preserve">2.7.10 Garantizar la atención médica integral y de calidad para las personas adultas mayores, considerando sus necesidades y preferencias, y contribuyendo a la construcción de una sociedad de cuidados. </w:t>
      </w:r>
    </w:p>
    <w:p w:rsidR="00206829" w:rsidRPr="007715DC" w:rsidRDefault="00206829" w:rsidP="005E6276">
      <w:pPr>
        <w:pStyle w:val="Prrafodelista"/>
        <w:numPr>
          <w:ilvl w:val="0"/>
          <w:numId w:val="2"/>
        </w:numPr>
        <w:spacing w:before="120" w:after="120" w:line="276" w:lineRule="auto"/>
        <w:jc w:val="both"/>
        <w:rPr>
          <w:rFonts w:ascii="Noto Sans" w:hAnsi="Noto Sans" w:cs="Noto Sans"/>
          <w:sz w:val="20"/>
          <w:szCs w:val="20"/>
        </w:rPr>
      </w:pPr>
      <w:r w:rsidRPr="007715DC">
        <w:rPr>
          <w:rFonts w:ascii="Noto Sans" w:hAnsi="Noto Sans" w:cs="Noto Sans"/>
          <w:sz w:val="20"/>
          <w:szCs w:val="20"/>
        </w:rPr>
        <w:lastRenderedPageBreak/>
        <w:t>Otro de los objetivos que se encuentran relacionados a este programa presupuestario es el 2.8, Fomentar la investigación e innovación en salud para mejorar la capacidad de respuesta del sistema de salud mexicano, asegurando eficiencia y eficacia, con un enfoque prioritario en las personas en si</w:t>
      </w:r>
      <w:r w:rsidR="0079049A" w:rsidRPr="007715DC">
        <w:rPr>
          <w:rFonts w:ascii="Noto Sans" w:hAnsi="Noto Sans" w:cs="Noto Sans"/>
          <w:sz w:val="20"/>
          <w:szCs w:val="20"/>
        </w:rPr>
        <w:t>tuación de mayor vulnerabilidad; aplicándose la estrategia 2.8.1 Ampliar el acceso a servicios de salud especializados, preventivos y de largo plazo, con el objetivo de reducir la incidencia y el impacto de enfermedades crónicas,</w:t>
      </w:r>
      <w:r w:rsidR="00B55FCB" w:rsidRPr="007715DC">
        <w:rPr>
          <w:rFonts w:ascii="Noto Sans" w:hAnsi="Noto Sans" w:cs="Noto Sans"/>
          <w:sz w:val="20"/>
          <w:szCs w:val="20"/>
        </w:rPr>
        <w:t xml:space="preserve"> degenerativas e incapacitantes.</w:t>
      </w:r>
    </w:p>
    <w:p w:rsidR="00D65638" w:rsidRPr="007715DC" w:rsidRDefault="00D65638" w:rsidP="007715DC">
      <w:pPr>
        <w:spacing w:before="120" w:after="120" w:line="276" w:lineRule="auto"/>
        <w:jc w:val="both"/>
        <w:rPr>
          <w:rFonts w:ascii="Noto Sans" w:hAnsi="Noto Sans" w:cs="Noto Sans"/>
          <w:sz w:val="20"/>
          <w:szCs w:val="20"/>
        </w:rPr>
      </w:pPr>
      <w:r w:rsidRPr="007715DC">
        <w:rPr>
          <w:rFonts w:ascii="Noto Sans" w:hAnsi="Noto Sans" w:cs="Noto Sans"/>
          <w:sz w:val="20"/>
          <w:szCs w:val="20"/>
        </w:rPr>
        <w:t>En cuanto a los objetivos de desarrollo sustentable, este PPE031 se relaciona con el objetivo número 3 Salud y bienestar.</w:t>
      </w:r>
    </w:p>
    <w:p w:rsidR="0079049A" w:rsidRPr="007715DC" w:rsidRDefault="0079049A" w:rsidP="007715DC">
      <w:pPr>
        <w:spacing w:before="120" w:after="120" w:line="276" w:lineRule="auto"/>
        <w:jc w:val="both"/>
        <w:rPr>
          <w:rFonts w:ascii="Noto Sans" w:hAnsi="Noto Sans" w:cs="Noto Sans"/>
          <w:sz w:val="20"/>
          <w:szCs w:val="20"/>
        </w:rPr>
      </w:pPr>
      <w:r w:rsidRPr="007715DC">
        <w:rPr>
          <w:rFonts w:ascii="Noto Sans" w:hAnsi="Noto Sans" w:cs="Noto Sans"/>
          <w:sz w:val="20"/>
          <w:szCs w:val="20"/>
        </w:rPr>
        <w:t>En cuanto a los ejes transversales</w:t>
      </w:r>
      <w:r w:rsidR="00D65638" w:rsidRPr="007715DC">
        <w:rPr>
          <w:rFonts w:ascii="Noto Sans" w:hAnsi="Noto Sans" w:cs="Noto Sans"/>
          <w:sz w:val="20"/>
          <w:szCs w:val="20"/>
        </w:rPr>
        <w:t xml:space="preserve"> del programa Nacional de Desarrollo</w:t>
      </w:r>
      <w:r w:rsidRPr="007715DC">
        <w:rPr>
          <w:rFonts w:ascii="Noto Sans" w:hAnsi="Noto Sans" w:cs="Noto Sans"/>
          <w:sz w:val="20"/>
          <w:szCs w:val="20"/>
        </w:rPr>
        <w:t>, el eje transversal I Igualdad sustantiva y derechos de las mujeres las estrategias T1.1.6 Garantizar el acceso equitativo de las mujeres, niñas y adolescentes a la educación, salud, cultura, deporte, espacios públicos y servicios básicos, mediante políticas y acciones que eliminen barreras y promuevan su bienestar integra Y T1.4.5 Implementar acciones de prevención y atención integral para eliminar la violencia psicológica y emocional que afectan la salud mental de las mujeres, niñas, niños y adolescentes, brindando apoyo psicosocial adecuado y promoviendo entornos libres de violencia que favorezcan su bienestar y desarrollo integral.</w:t>
      </w:r>
    </w:p>
    <w:p w:rsidR="000C5AC9" w:rsidRPr="00206829" w:rsidRDefault="000C5AC9" w:rsidP="00206829">
      <w:pPr>
        <w:spacing w:before="120" w:after="120" w:line="276" w:lineRule="auto"/>
        <w:ind w:left="360"/>
        <w:rPr>
          <w:rFonts w:ascii="Noto Sans" w:hAnsi="Noto Sans" w:cs="Noto Sans"/>
          <w:sz w:val="20"/>
          <w:szCs w:val="22"/>
        </w:rPr>
      </w:pPr>
      <w:r w:rsidRPr="00206829">
        <w:rPr>
          <w:rFonts w:ascii="Noto Sans" w:hAnsi="Noto Sans" w:cs="Noto Sans"/>
          <w:sz w:val="20"/>
          <w:szCs w:val="22"/>
        </w:rPr>
        <w:br w:type="page"/>
      </w:r>
    </w:p>
    <w:p w:rsidR="00B70D5C" w:rsidRPr="00B24957" w:rsidRDefault="00C80904" w:rsidP="005E6276">
      <w:pPr>
        <w:pStyle w:val="Ttulo1"/>
        <w:numPr>
          <w:ilvl w:val="0"/>
          <w:numId w:val="1"/>
        </w:numPr>
        <w:spacing w:before="120" w:after="120" w:line="276" w:lineRule="auto"/>
        <w:rPr>
          <w:rFonts w:ascii="Noto Sans" w:hAnsi="Noto Sans" w:cs="Noto Sans"/>
          <w:b/>
          <w:color w:val="1E5B4F"/>
          <w:sz w:val="22"/>
          <w:szCs w:val="22"/>
        </w:rPr>
      </w:pPr>
      <w:bookmarkStart w:id="15" w:name="_Toc201830232"/>
      <w:r w:rsidRPr="00B24957">
        <w:rPr>
          <w:rFonts w:ascii="Noto Sans" w:hAnsi="Noto Sans" w:cs="Noto Sans"/>
          <w:b/>
          <w:color w:val="1E5B4F"/>
          <w:sz w:val="22"/>
          <w:szCs w:val="22"/>
        </w:rPr>
        <w:lastRenderedPageBreak/>
        <w:t>Diseño operativo</w:t>
      </w:r>
      <w:bookmarkEnd w:id="15"/>
    </w:p>
    <w:p w:rsidR="001C16BF" w:rsidRPr="00B24957" w:rsidRDefault="00B25EBC" w:rsidP="005E6276">
      <w:pPr>
        <w:pStyle w:val="Ttulo1"/>
        <w:numPr>
          <w:ilvl w:val="1"/>
          <w:numId w:val="1"/>
        </w:numPr>
        <w:tabs>
          <w:tab w:val="left" w:pos="993"/>
        </w:tabs>
        <w:spacing w:before="120" w:after="120" w:line="276" w:lineRule="auto"/>
        <w:rPr>
          <w:rFonts w:ascii="Noto Sans" w:hAnsi="Noto Sans" w:cs="Noto Sans"/>
          <w:b/>
          <w:color w:val="1E5B4F"/>
          <w:sz w:val="22"/>
          <w:szCs w:val="22"/>
        </w:rPr>
      </w:pPr>
      <w:bookmarkStart w:id="16" w:name="_Toc201830233"/>
      <w:r>
        <w:rPr>
          <w:rFonts w:ascii="Noto Sans" w:hAnsi="Noto Sans" w:cs="Noto Sans"/>
          <w:b/>
          <w:color w:val="1E5B4F"/>
          <w:sz w:val="22"/>
          <w:szCs w:val="22"/>
        </w:rPr>
        <w:t>Modalidad presupuestaria</w:t>
      </w:r>
      <w:bookmarkEnd w:id="16"/>
    </w:p>
    <w:tbl>
      <w:tblPr>
        <w:tblStyle w:val="Tablaconcuadrcula"/>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63"/>
        <w:gridCol w:w="6565"/>
      </w:tblGrid>
      <w:tr w:rsidR="0083068A" w:rsidRPr="00215DFF" w:rsidTr="00B55FCB">
        <w:trPr>
          <w:trHeight w:val="454"/>
        </w:trPr>
        <w:tc>
          <w:tcPr>
            <w:tcW w:w="2263" w:type="dxa"/>
            <w:tcBorders>
              <w:right w:val="single" w:sz="4" w:space="0" w:color="D9D9D9" w:themeColor="background1" w:themeShade="D9"/>
            </w:tcBorders>
            <w:shd w:val="clear" w:color="auto" w:fill="1E5B4F"/>
            <w:vAlign w:val="center"/>
          </w:tcPr>
          <w:p w:rsidR="0083068A" w:rsidRPr="005D309A" w:rsidRDefault="0083068A" w:rsidP="00B55FCB">
            <w:pPr>
              <w:rPr>
                <w:rFonts w:ascii="Noto Sans" w:hAnsi="Noto Sans" w:cs="Noto Sans"/>
                <w:b/>
                <w:bCs/>
                <w:color w:val="FFFFFF" w:themeColor="background1"/>
                <w:sz w:val="20"/>
                <w:szCs w:val="20"/>
              </w:rPr>
            </w:pPr>
            <w:bookmarkStart w:id="17" w:name="_Toc201830234"/>
            <w:r w:rsidRPr="005D309A">
              <w:rPr>
                <w:rFonts w:ascii="Noto Sans" w:hAnsi="Noto Sans" w:cs="Noto Sans"/>
                <w:b/>
                <w:bCs/>
                <w:color w:val="FFFFFF" w:themeColor="background1"/>
                <w:sz w:val="20"/>
                <w:szCs w:val="20"/>
              </w:rPr>
              <w:t>Modalidad del Pp</w:t>
            </w:r>
          </w:p>
        </w:tc>
        <w:tc>
          <w:tcPr>
            <w:tcW w:w="6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rsidR="0083068A" w:rsidRPr="007F123B" w:rsidRDefault="0083068A" w:rsidP="007F123B">
            <w:pPr>
              <w:jc w:val="both"/>
              <w:rPr>
                <w:rFonts w:ascii="Noto Sans" w:hAnsi="Noto Sans" w:cs="Noto Sans"/>
                <w:i/>
                <w:iCs/>
                <w:sz w:val="20"/>
                <w:szCs w:val="20"/>
              </w:rPr>
            </w:pPr>
            <w:r w:rsidRPr="007F123B">
              <w:rPr>
                <w:rFonts w:ascii="Noto Sans" w:hAnsi="Noto Sans" w:cs="Noto Sans"/>
                <w:i/>
                <w:iCs/>
                <w:sz w:val="20"/>
                <w:szCs w:val="20"/>
              </w:rPr>
              <w:t>E</w:t>
            </w:r>
            <w:r w:rsidR="007F123B" w:rsidRPr="007F123B">
              <w:rPr>
                <w:rFonts w:ascii="Noto Sans" w:hAnsi="Noto Sans" w:cs="Noto Sans"/>
                <w:b/>
                <w:bCs/>
                <w:color w:val="000000"/>
                <w:sz w:val="20"/>
                <w:szCs w:val="20"/>
                <w:shd w:val="clear" w:color="auto" w:fill="FFFFFF"/>
              </w:rPr>
              <w:t xml:space="preserve"> Bienes, Servicios e Infraestructura Pública</w:t>
            </w:r>
            <w:r w:rsidR="007F123B" w:rsidRPr="007F123B">
              <w:rPr>
                <w:rFonts w:ascii="Noto Sans" w:hAnsi="Noto Sans" w:cs="Noto Sans"/>
                <w:b/>
                <w:bCs/>
                <w:color w:val="000000"/>
                <w:sz w:val="20"/>
                <w:szCs w:val="20"/>
                <w:shd w:val="clear" w:color="auto" w:fill="FFFFFF"/>
              </w:rPr>
              <w:br/>
            </w:r>
            <w:r w:rsidR="007F123B" w:rsidRPr="007F123B">
              <w:rPr>
                <w:rFonts w:ascii="Noto Sans" w:hAnsi="Noto Sans" w:cs="Noto Sans"/>
                <w:color w:val="000000"/>
                <w:sz w:val="20"/>
                <w:szCs w:val="20"/>
                <w:shd w:val="clear" w:color="auto" w:fill="FFFFFF"/>
              </w:rPr>
              <w:t>Considera actividades que realiza el sector público en forma directa, regular y continua, para satisfacer demandas y necesidades de la sociedad, en atención a los derechos fundamentales de la población. Entre otras intervenciones con estas características, de forma enunciativa más no limitativa de los casos particulares que existan en los tres niveles de gobierno, se encuentran la prestación de servicios educativos, recreación, deportivos, culturales, protección y atención a la salud, asistencia social, seguridad pública y ciudadana, transporte público, legales, trámites y servicios básicos.</w:t>
            </w:r>
          </w:p>
        </w:tc>
      </w:tr>
      <w:tr w:rsidR="0083068A" w:rsidRPr="00215DFF" w:rsidTr="00B55FCB">
        <w:trPr>
          <w:trHeight w:val="397"/>
        </w:trPr>
        <w:tc>
          <w:tcPr>
            <w:tcW w:w="2263" w:type="dxa"/>
            <w:tcBorders>
              <w:right w:val="single" w:sz="4" w:space="0" w:color="D9D9D9" w:themeColor="background1" w:themeShade="D9"/>
            </w:tcBorders>
            <w:shd w:val="clear" w:color="auto" w:fill="1E5B4F"/>
            <w:vAlign w:val="center"/>
          </w:tcPr>
          <w:p w:rsidR="0083068A" w:rsidRPr="005D309A" w:rsidRDefault="0083068A" w:rsidP="00B55FCB">
            <w:pPr>
              <w:rPr>
                <w:rFonts w:ascii="Noto Sans" w:hAnsi="Noto Sans" w:cs="Noto Sans"/>
                <w:b/>
                <w:bCs/>
                <w:color w:val="FFFFFF" w:themeColor="background1"/>
                <w:sz w:val="20"/>
                <w:szCs w:val="20"/>
              </w:rPr>
            </w:pPr>
            <w:r w:rsidRPr="005D309A">
              <w:rPr>
                <w:rFonts w:ascii="Noto Sans" w:hAnsi="Noto Sans" w:cs="Noto Sans"/>
                <w:b/>
                <w:bCs/>
                <w:color w:val="FFFFFF" w:themeColor="background1"/>
                <w:sz w:val="20"/>
                <w:szCs w:val="20"/>
              </w:rPr>
              <w:t>Clave del Pp</w:t>
            </w:r>
          </w:p>
        </w:tc>
        <w:tc>
          <w:tcPr>
            <w:tcW w:w="6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rsidR="0083068A" w:rsidRPr="00215DFF" w:rsidRDefault="0083068A" w:rsidP="00B55FCB">
            <w:pPr>
              <w:rPr>
                <w:rFonts w:ascii="Noto Sans" w:hAnsi="Noto Sans" w:cs="Noto Sans"/>
                <w:i/>
                <w:iCs/>
                <w:sz w:val="20"/>
                <w:szCs w:val="20"/>
              </w:rPr>
            </w:pPr>
            <w:r>
              <w:rPr>
                <w:rFonts w:ascii="Noto Sans" w:hAnsi="Noto Sans" w:cs="Noto Sans"/>
                <w:i/>
                <w:iCs/>
                <w:sz w:val="20"/>
                <w:szCs w:val="20"/>
              </w:rPr>
              <w:t>031</w:t>
            </w:r>
          </w:p>
        </w:tc>
      </w:tr>
      <w:tr w:rsidR="0083068A" w:rsidRPr="00215DFF" w:rsidTr="00B55FCB">
        <w:trPr>
          <w:trHeight w:val="397"/>
        </w:trPr>
        <w:tc>
          <w:tcPr>
            <w:tcW w:w="2263" w:type="dxa"/>
            <w:tcBorders>
              <w:right w:val="single" w:sz="4" w:space="0" w:color="D9D9D9" w:themeColor="background1" w:themeShade="D9"/>
            </w:tcBorders>
            <w:shd w:val="clear" w:color="auto" w:fill="1E5B4F"/>
            <w:vAlign w:val="center"/>
          </w:tcPr>
          <w:p w:rsidR="0083068A" w:rsidRPr="005D309A" w:rsidRDefault="0083068A" w:rsidP="00B55FCB">
            <w:pPr>
              <w:rPr>
                <w:rFonts w:ascii="Noto Sans" w:hAnsi="Noto Sans" w:cs="Noto Sans"/>
                <w:b/>
                <w:bCs/>
                <w:color w:val="FFFFFF" w:themeColor="background1"/>
                <w:sz w:val="20"/>
                <w:szCs w:val="20"/>
              </w:rPr>
            </w:pPr>
            <w:r w:rsidRPr="005D309A">
              <w:rPr>
                <w:rFonts w:ascii="Noto Sans" w:hAnsi="Noto Sans" w:cs="Noto Sans"/>
                <w:b/>
                <w:bCs/>
                <w:color w:val="FFFFFF" w:themeColor="background1"/>
                <w:sz w:val="20"/>
                <w:szCs w:val="20"/>
              </w:rPr>
              <w:t>Denominación Pp</w:t>
            </w:r>
          </w:p>
        </w:tc>
        <w:tc>
          <w:tcPr>
            <w:tcW w:w="6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vAlign w:val="center"/>
          </w:tcPr>
          <w:p w:rsidR="0083068A" w:rsidRPr="00215DFF" w:rsidRDefault="0083068A" w:rsidP="00B55FCB">
            <w:pPr>
              <w:rPr>
                <w:rFonts w:ascii="Noto Sans" w:hAnsi="Noto Sans" w:cs="Noto Sans"/>
                <w:i/>
                <w:iCs/>
                <w:sz w:val="20"/>
                <w:szCs w:val="20"/>
              </w:rPr>
            </w:pPr>
            <w:r>
              <w:rPr>
                <w:rFonts w:ascii="Noto Sans" w:hAnsi="Noto Sans" w:cs="Noto Sans"/>
                <w:i/>
                <w:iCs/>
                <w:sz w:val="20"/>
                <w:szCs w:val="20"/>
              </w:rPr>
              <w:t>Servicios de atención a la salud</w:t>
            </w:r>
          </w:p>
        </w:tc>
      </w:tr>
    </w:tbl>
    <w:p w:rsidR="00B24957" w:rsidRPr="00B24957" w:rsidRDefault="002276BD" w:rsidP="005E6276">
      <w:pPr>
        <w:pStyle w:val="Ttulo1"/>
        <w:numPr>
          <w:ilvl w:val="1"/>
          <w:numId w:val="1"/>
        </w:numPr>
        <w:tabs>
          <w:tab w:val="left" w:pos="993"/>
        </w:tabs>
        <w:spacing w:before="120" w:after="120" w:line="276" w:lineRule="auto"/>
        <w:rPr>
          <w:rFonts w:ascii="Noto Sans" w:hAnsi="Noto Sans" w:cs="Noto Sans"/>
          <w:b/>
          <w:color w:val="1E5B4F"/>
          <w:sz w:val="22"/>
          <w:szCs w:val="22"/>
        </w:rPr>
      </w:pPr>
      <w:r>
        <w:rPr>
          <w:rFonts w:ascii="Noto Sans" w:hAnsi="Noto Sans" w:cs="Noto Sans"/>
          <w:b/>
          <w:color w:val="1E5B4F"/>
          <w:sz w:val="22"/>
          <w:szCs w:val="22"/>
        </w:rPr>
        <w:t>Unidades Responsables</w:t>
      </w:r>
      <w:bookmarkEnd w:id="17"/>
    </w:p>
    <w:tbl>
      <w:tblPr>
        <w:tblStyle w:val="Tablaconcuadrcula"/>
        <w:tblW w:w="9231" w:type="dxa"/>
        <w:jc w:val="center"/>
        <w:tblLook w:val="04A0" w:firstRow="1" w:lastRow="0" w:firstColumn="1" w:lastColumn="0" w:noHBand="0" w:noVBand="1"/>
      </w:tblPr>
      <w:tblGrid>
        <w:gridCol w:w="3544"/>
        <w:gridCol w:w="5687"/>
      </w:tblGrid>
      <w:tr w:rsidR="006D3994" w:rsidRPr="00E3576B" w:rsidTr="00CE30CE">
        <w:trPr>
          <w:trHeight w:val="306"/>
          <w:tblHeader/>
          <w:jc w:val="center"/>
        </w:trPr>
        <w:tc>
          <w:tcPr>
            <w:tcW w:w="3544" w:type="dxa"/>
            <w:noWrap/>
            <w:vAlign w:val="center"/>
            <w:hideMark/>
          </w:tcPr>
          <w:p w:rsidR="006D3994" w:rsidRPr="00E3576B" w:rsidRDefault="006D3994" w:rsidP="005E6276">
            <w:pPr>
              <w:pStyle w:val="Prrafodelista"/>
              <w:numPr>
                <w:ilvl w:val="1"/>
                <w:numId w:val="10"/>
              </w:numPr>
              <w:spacing w:before="100" w:beforeAutospacing="1" w:afterAutospacing="1"/>
              <w:jc w:val="center"/>
              <w:rPr>
                <w:rFonts w:ascii="Noto Sans" w:hAnsi="Noto Sans" w:cs="Noto Sans"/>
                <w:b/>
                <w:sz w:val="16"/>
                <w:szCs w:val="16"/>
              </w:rPr>
            </w:pPr>
            <w:bookmarkStart w:id="18" w:name="_Toc201830235"/>
            <w:r w:rsidRPr="00E3576B">
              <w:rPr>
                <w:rFonts w:ascii="Noto Sans" w:hAnsi="Noto Sans" w:cs="Noto Sans"/>
                <w:b/>
                <w:sz w:val="16"/>
                <w:szCs w:val="16"/>
              </w:rPr>
              <w:t>Denominación de la UR</w:t>
            </w:r>
          </w:p>
        </w:tc>
        <w:tc>
          <w:tcPr>
            <w:tcW w:w="5687" w:type="dxa"/>
            <w:noWrap/>
            <w:vAlign w:val="center"/>
            <w:hideMark/>
          </w:tcPr>
          <w:p w:rsidR="006D3994" w:rsidRPr="00E3576B" w:rsidRDefault="006D3994" w:rsidP="00B55FCB">
            <w:pPr>
              <w:ind w:hanging="2"/>
              <w:jc w:val="center"/>
              <w:rPr>
                <w:rFonts w:ascii="Noto Sans" w:hAnsi="Noto Sans" w:cs="Noto Sans"/>
                <w:b/>
                <w:sz w:val="16"/>
                <w:szCs w:val="16"/>
              </w:rPr>
            </w:pPr>
            <w:r w:rsidRPr="00E3576B">
              <w:rPr>
                <w:rFonts w:ascii="Noto Sans" w:hAnsi="Noto Sans" w:cs="Noto Sans"/>
                <w:b/>
                <w:sz w:val="16"/>
                <w:szCs w:val="16"/>
              </w:rPr>
              <w:t>Funciones de cada UR respecto al programa propuesto o con cambios sustanciales:</w:t>
            </w:r>
          </w:p>
        </w:tc>
      </w:tr>
      <w:tr w:rsidR="006D3994" w:rsidRPr="00E3576B" w:rsidTr="00CE30CE">
        <w:trPr>
          <w:trHeight w:val="306"/>
          <w:jc w:val="center"/>
        </w:trPr>
        <w:tc>
          <w:tcPr>
            <w:tcW w:w="3544" w:type="dxa"/>
            <w:noWrap/>
            <w:vAlign w:val="center"/>
          </w:tcPr>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t>160.-Comisión Coordinadora de Institutos Nacionales de Salud y Hospitales de Alta Especialidad</w:t>
            </w:r>
          </w:p>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t xml:space="preserve"> A través de:</w:t>
            </w:r>
          </w:p>
          <w:p w:rsidR="006D3994" w:rsidRPr="00E3576B" w:rsidRDefault="006D3994" w:rsidP="00B55FCB">
            <w:pPr>
              <w:ind w:hanging="2"/>
              <w:jc w:val="both"/>
              <w:rPr>
                <w:rFonts w:ascii="Noto Sans" w:hAnsi="Noto Sans" w:cs="Noto Sans"/>
                <w:color w:val="000000"/>
                <w:sz w:val="16"/>
                <w:szCs w:val="16"/>
              </w:rPr>
            </w:pPr>
          </w:p>
          <w:p w:rsidR="006D3994" w:rsidRPr="00E3576B" w:rsidRDefault="006D3994" w:rsidP="00B55FCB">
            <w:pPr>
              <w:tabs>
                <w:tab w:val="left" w:pos="284"/>
                <w:tab w:val="left" w:pos="1134"/>
                <w:tab w:val="left" w:pos="1560"/>
              </w:tabs>
              <w:spacing w:before="120" w:after="120"/>
              <w:ind w:hanging="2"/>
              <w:jc w:val="both"/>
              <w:rPr>
                <w:rFonts w:ascii="Noto Sans" w:hAnsi="Noto Sans" w:cs="Noto Sans"/>
                <w:sz w:val="16"/>
                <w:szCs w:val="16"/>
              </w:rPr>
            </w:pPr>
            <w:r w:rsidRPr="00E3576B">
              <w:rPr>
                <w:rFonts w:ascii="Noto Sans" w:hAnsi="Noto Sans" w:cs="Noto Sans"/>
                <w:sz w:val="16"/>
                <w:szCs w:val="16"/>
              </w:rPr>
              <w:t>Hospital de la Mujer</w:t>
            </w:r>
          </w:p>
          <w:p w:rsidR="006D3994" w:rsidRPr="00E3576B" w:rsidRDefault="006D3994" w:rsidP="00B55FCB">
            <w:pPr>
              <w:tabs>
                <w:tab w:val="left" w:pos="284"/>
                <w:tab w:val="left" w:pos="1134"/>
                <w:tab w:val="left" w:pos="1560"/>
              </w:tabs>
              <w:spacing w:before="120" w:after="120"/>
              <w:ind w:hanging="2"/>
              <w:jc w:val="both"/>
              <w:rPr>
                <w:rFonts w:ascii="Noto Sans" w:hAnsi="Noto Sans" w:cs="Noto Sans"/>
                <w:sz w:val="16"/>
                <w:szCs w:val="16"/>
              </w:rPr>
            </w:pPr>
            <w:r w:rsidRPr="00E3576B">
              <w:rPr>
                <w:rFonts w:ascii="Noto Sans" w:hAnsi="Noto Sans" w:cs="Noto Sans"/>
                <w:sz w:val="16"/>
                <w:szCs w:val="16"/>
              </w:rPr>
              <w:t>Hospital Nacional Homeopático</w:t>
            </w:r>
          </w:p>
          <w:p w:rsidR="006D3994" w:rsidRPr="00E3576B" w:rsidRDefault="006D3994" w:rsidP="00B55FCB">
            <w:pPr>
              <w:tabs>
                <w:tab w:val="left" w:pos="284"/>
                <w:tab w:val="left" w:pos="1134"/>
                <w:tab w:val="left" w:pos="1560"/>
              </w:tabs>
              <w:spacing w:before="120" w:after="120"/>
              <w:ind w:hanging="2"/>
              <w:jc w:val="both"/>
              <w:rPr>
                <w:rFonts w:ascii="Noto Sans" w:hAnsi="Noto Sans" w:cs="Noto Sans"/>
                <w:sz w:val="16"/>
                <w:szCs w:val="16"/>
              </w:rPr>
            </w:pPr>
            <w:r w:rsidRPr="00E3576B">
              <w:rPr>
                <w:rFonts w:ascii="Noto Sans" w:hAnsi="Noto Sans" w:cs="Noto Sans"/>
                <w:sz w:val="16"/>
                <w:szCs w:val="16"/>
              </w:rPr>
              <w:t>Hospital Juárez del Centro</w:t>
            </w:r>
          </w:p>
          <w:p w:rsidR="006D3994" w:rsidRPr="00E3576B" w:rsidRDefault="006D3994" w:rsidP="00B55FCB">
            <w:pPr>
              <w:ind w:hanging="2"/>
              <w:jc w:val="both"/>
              <w:rPr>
                <w:rFonts w:ascii="Noto Sans" w:hAnsi="Noto Sans" w:cs="Noto Sans"/>
                <w:color w:val="000000"/>
                <w:sz w:val="16"/>
                <w:szCs w:val="16"/>
              </w:rPr>
            </w:pPr>
          </w:p>
        </w:tc>
        <w:tc>
          <w:tcPr>
            <w:tcW w:w="5687" w:type="dxa"/>
            <w:noWrap/>
            <w:vAlign w:val="center"/>
          </w:tcPr>
          <w:p w:rsidR="006D3994" w:rsidRPr="00E3576B" w:rsidRDefault="006D3994" w:rsidP="00B55FCB">
            <w:pPr>
              <w:spacing w:after="160" w:line="259" w:lineRule="auto"/>
              <w:ind w:hanging="2"/>
              <w:jc w:val="both"/>
              <w:rPr>
                <w:rFonts w:ascii="Noto Sans" w:hAnsi="Noto Sans" w:cs="Noto Sans"/>
                <w:sz w:val="16"/>
                <w:szCs w:val="16"/>
              </w:rPr>
            </w:pPr>
            <w:r w:rsidRPr="00E3576B">
              <w:rPr>
                <w:rFonts w:ascii="Noto Sans" w:hAnsi="Noto Sans" w:cs="Noto Sans"/>
                <w:sz w:val="16"/>
                <w:szCs w:val="16"/>
              </w:rPr>
              <w:t>Artículo 12. Del Reglamento Interior de Salud:</w:t>
            </w:r>
          </w:p>
          <w:p w:rsidR="006D3994" w:rsidRPr="00E3576B" w:rsidRDefault="006D3994" w:rsidP="00B55FCB">
            <w:pPr>
              <w:spacing w:after="160" w:line="259" w:lineRule="auto"/>
              <w:ind w:hanging="2"/>
              <w:jc w:val="both"/>
              <w:rPr>
                <w:rFonts w:ascii="Noto Sans" w:hAnsi="Noto Sans" w:cs="Noto Sans"/>
                <w:sz w:val="16"/>
                <w:szCs w:val="16"/>
              </w:rPr>
            </w:pPr>
            <w:r w:rsidRPr="00E3576B">
              <w:rPr>
                <w:rFonts w:ascii="Noto Sans" w:hAnsi="Noto Sans" w:cs="Noto Sans"/>
                <w:sz w:val="16"/>
                <w:szCs w:val="16"/>
              </w:rPr>
              <w:t>I. Coordinar la organización de los servicios hospitalarios encaminados a una operación eficiente con el fin de facilitar el acceso de los pacientes que soliciten sus servicios.</w:t>
            </w:r>
          </w:p>
          <w:p w:rsidR="006D3994" w:rsidRPr="00E3576B" w:rsidRDefault="006D3994" w:rsidP="00B55FCB">
            <w:pPr>
              <w:spacing w:after="160" w:line="259" w:lineRule="auto"/>
              <w:ind w:hanging="2"/>
              <w:jc w:val="both"/>
              <w:rPr>
                <w:rFonts w:ascii="Noto Sans" w:hAnsi="Noto Sans" w:cs="Noto Sans"/>
                <w:sz w:val="16"/>
                <w:szCs w:val="16"/>
              </w:rPr>
            </w:pPr>
            <w:r w:rsidRPr="00E3576B">
              <w:rPr>
                <w:rFonts w:ascii="Noto Sans" w:hAnsi="Noto Sans" w:cs="Noto Sans"/>
                <w:sz w:val="16"/>
                <w:szCs w:val="16"/>
              </w:rPr>
              <w:t>V. Establecer el sistema de referencia y contrarreferencia para el acceso a los servicios públicos de alta especialidad.</w:t>
            </w:r>
          </w:p>
          <w:p w:rsidR="006D3994" w:rsidRPr="00E3576B" w:rsidRDefault="006D3994" w:rsidP="00B55FCB">
            <w:pPr>
              <w:ind w:hanging="2"/>
              <w:jc w:val="both"/>
              <w:rPr>
                <w:rFonts w:ascii="Noto Sans" w:hAnsi="Noto Sans" w:cs="Noto Sans"/>
                <w:sz w:val="16"/>
                <w:szCs w:val="16"/>
              </w:rPr>
            </w:pPr>
          </w:p>
        </w:tc>
      </w:tr>
      <w:tr w:rsidR="006D3994" w:rsidRPr="00E3576B" w:rsidTr="00CE30CE">
        <w:trPr>
          <w:trHeight w:val="306"/>
          <w:jc w:val="center"/>
        </w:trPr>
        <w:tc>
          <w:tcPr>
            <w:tcW w:w="3544" w:type="dxa"/>
            <w:noWrap/>
            <w:vAlign w:val="center"/>
          </w:tcPr>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t>M7F.-Instituto Nacional de Psiquiatría Ramón de la Fuente Muñiz</w:t>
            </w:r>
          </w:p>
        </w:tc>
        <w:tc>
          <w:tcPr>
            <w:tcW w:w="5687" w:type="dxa"/>
            <w:noWrap/>
            <w:vAlign w:val="center"/>
          </w:tcPr>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Artículo 3 del Estatuto orgánico:</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VII. Prestar servicios de salud en aspectos preventivos, médicos, psicológicos y de</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rehabilitación en sus áreas de especialización;</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VIII. Proporcionar consulta externa, atención hospitalaria y servicios de urgencias a la</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población que requiera atención médica en las áreas de psiquiatría y salud mental,</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hasta el límite de su capacidad instalada;</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XI. Asesorar a los centros especializados de investigación, enseñanza o atención médica de las entidades federativas y, en general, a cualquiera de sus instituciones públicas de salud; XII. Promover acciones para la protección de la salud, en lo relativo a los padecimientos propios de la psiquiatría y la salud mental;</w:t>
            </w:r>
          </w:p>
        </w:tc>
      </w:tr>
      <w:tr w:rsidR="006D3994" w:rsidRPr="00E3576B" w:rsidTr="00CE30CE">
        <w:trPr>
          <w:trHeight w:val="306"/>
          <w:jc w:val="center"/>
        </w:trPr>
        <w:tc>
          <w:tcPr>
            <w:tcW w:w="3544" w:type="dxa"/>
            <w:noWrap/>
            <w:vAlign w:val="center"/>
          </w:tcPr>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t>NAW.-Hospital Juárez de México</w:t>
            </w:r>
          </w:p>
        </w:tc>
        <w:tc>
          <w:tcPr>
            <w:tcW w:w="5687" w:type="dxa"/>
            <w:noWrap/>
            <w:vAlign w:val="center"/>
          </w:tcPr>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Artículo 3 del Estatuto orgánico:</w:t>
            </w:r>
          </w:p>
          <w:p w:rsidR="006D3994" w:rsidRPr="00E3576B" w:rsidRDefault="006D3994" w:rsidP="00B55FCB">
            <w:pPr>
              <w:ind w:hanging="2"/>
              <w:jc w:val="both"/>
              <w:rPr>
                <w:rFonts w:ascii="Noto Sans" w:hAnsi="Noto Sans" w:cs="Noto Sans"/>
                <w:sz w:val="16"/>
                <w:szCs w:val="16"/>
              </w:rPr>
            </w:pP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lastRenderedPageBreak/>
              <w:t>I. Contribuir al cumplimiento del derecho a la protección de la salud de conformidad con el artículo 4o. Constitucional;</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II. Proporcionar servicios de salud en el campo de las especialidades médicas y quirúrgicas y en aquellas complementarias de apoyo para lograr una atención de calidad y seguridad, con trato digno e incluyente, no discriminatorio;</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III. Prestar servicios de atención médica gratuita de alta especialidad a las personas que no cuenten con seguridad social, que incluya medicamentos y demás insumos relacionados, en apego a los criterios de universalidad, igualdad e inclusión, y con base en el catálogo de servicios del Hospital Juárez de México;</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IV. Fungir como Hospital Federal de Referencia dentro del Sistema de Protección Social en Salud;</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 xml:space="preserve">XIII. Impulsar la participación ciudadana en el autocuidado de su salud, así como promover los programas de educación para la salud y de medicina preventiva entre la población relacionada con las funciones y responsabilidades del Hospital; </w:t>
            </w:r>
          </w:p>
        </w:tc>
      </w:tr>
      <w:tr w:rsidR="006D3994" w:rsidRPr="00E3576B" w:rsidTr="00CE30CE">
        <w:trPr>
          <w:trHeight w:val="306"/>
          <w:jc w:val="center"/>
        </w:trPr>
        <w:tc>
          <w:tcPr>
            <w:tcW w:w="3544" w:type="dxa"/>
            <w:noWrap/>
            <w:vAlign w:val="center"/>
          </w:tcPr>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lastRenderedPageBreak/>
              <w:t>NBB.-Hospital General "Dr. Manuel Gea González"</w:t>
            </w:r>
          </w:p>
        </w:tc>
        <w:tc>
          <w:tcPr>
            <w:tcW w:w="5687" w:type="dxa"/>
            <w:noWrap/>
            <w:vAlign w:val="center"/>
          </w:tcPr>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Artículo 3 del Estatuto orgánico:</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II.-Prestar servicios de salud, particularmente en materia de atención médica en aspectos preventivos, curativos y de rehabilitación en las especialidades básicas de la medicina y en aquellas complementarias y de apoyo que determine el presente Estatuto Orgánico;</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III.-Proporcionar consulta externa y hospitalización a la población que requiera atención en los servicios de especialidades con que cuenta, con criterios de gratuidad fundada en las condiciones socioeconómicas de los usuarios, sin que las cuotas de recuperación desvirtúen la función social del Hospital.</w:t>
            </w:r>
          </w:p>
        </w:tc>
      </w:tr>
      <w:tr w:rsidR="006D3994" w:rsidRPr="00E3576B" w:rsidTr="00CE30CE">
        <w:trPr>
          <w:trHeight w:val="306"/>
          <w:jc w:val="center"/>
        </w:trPr>
        <w:tc>
          <w:tcPr>
            <w:tcW w:w="3544" w:type="dxa"/>
            <w:noWrap/>
            <w:vAlign w:val="center"/>
          </w:tcPr>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t>NBD.-Hospital General de México "Dr. Eduardo Liceaga"</w:t>
            </w:r>
          </w:p>
        </w:tc>
        <w:tc>
          <w:tcPr>
            <w:tcW w:w="5687" w:type="dxa"/>
            <w:noWrap/>
            <w:vAlign w:val="center"/>
          </w:tcPr>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Artículo 3 del Estatuto orgánico:</w:t>
            </w:r>
          </w:p>
          <w:p w:rsidR="006D3994" w:rsidRPr="00E3576B" w:rsidRDefault="006D3994" w:rsidP="00B55FCB">
            <w:pPr>
              <w:ind w:hanging="2"/>
              <w:jc w:val="both"/>
              <w:rPr>
                <w:rFonts w:ascii="Noto Sans" w:hAnsi="Noto Sans" w:cs="Noto Sans"/>
                <w:sz w:val="16"/>
                <w:szCs w:val="16"/>
              </w:rPr>
            </w:pP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I. Proporcionar servicios de salud, particularmente en el campo de la alta especialidad de la medicina y en aquellas complementarias y de apoyo que determine este Estatuto.</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II. Prestar servicios de hospitalización en los servicios de especialidades con que cuenta con criterios de gratitud fundada en las condiciones socioeconómicas de los usuarios, sin que las cuotas de recuperación desvirtúen la función social del Hospital General de México.</w:t>
            </w:r>
          </w:p>
        </w:tc>
      </w:tr>
      <w:tr w:rsidR="006D3994" w:rsidRPr="00E3576B" w:rsidTr="00CE30CE">
        <w:trPr>
          <w:trHeight w:val="306"/>
          <w:jc w:val="center"/>
        </w:trPr>
        <w:tc>
          <w:tcPr>
            <w:tcW w:w="3544" w:type="dxa"/>
            <w:noWrap/>
            <w:vAlign w:val="center"/>
          </w:tcPr>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t>NBG.-Hospital Infantil de México Federico Gómez</w:t>
            </w:r>
          </w:p>
        </w:tc>
        <w:tc>
          <w:tcPr>
            <w:tcW w:w="5687" w:type="dxa"/>
            <w:noWrap/>
            <w:vAlign w:val="center"/>
          </w:tcPr>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Artículo 3 del Estatuto orgánico:</w:t>
            </w:r>
          </w:p>
          <w:p w:rsidR="006D3994" w:rsidRPr="00E3576B" w:rsidRDefault="006D3994" w:rsidP="00B55FCB">
            <w:pPr>
              <w:ind w:hanging="2"/>
              <w:jc w:val="both"/>
              <w:rPr>
                <w:rFonts w:ascii="Noto Sans" w:hAnsi="Noto Sans" w:cs="Noto Sans"/>
                <w:sz w:val="16"/>
                <w:szCs w:val="16"/>
              </w:rPr>
            </w:pP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VII. Prestar servicios de salud en aspectos preventivos, médicos quirúrgicos y de rehabilitación en sus áreas de especialización;</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VIII. Proporcionar consulta externa, atención hospitalaria, y servicios de urgencias a la población que requiera atención médica en sus áreas de especialización de los padecimientos de la población infantil y hasta la adolescencia, hasta el límite de su capacidad instalada;</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XII. Promover acciones para la protección de la salud, en lo relativo a los padecimientos propios</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de sus especialidades;</w:t>
            </w:r>
          </w:p>
        </w:tc>
      </w:tr>
      <w:tr w:rsidR="006D3994" w:rsidRPr="00E3576B" w:rsidTr="00CE30CE">
        <w:trPr>
          <w:trHeight w:val="306"/>
          <w:jc w:val="center"/>
        </w:trPr>
        <w:tc>
          <w:tcPr>
            <w:tcW w:w="3544" w:type="dxa"/>
            <w:noWrap/>
            <w:vAlign w:val="center"/>
          </w:tcPr>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t>NBV.-Instituto Nacional de Cancerología</w:t>
            </w:r>
          </w:p>
        </w:tc>
        <w:tc>
          <w:tcPr>
            <w:tcW w:w="5687" w:type="dxa"/>
            <w:noWrap/>
            <w:vAlign w:val="center"/>
          </w:tcPr>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Artículo 3 del Estatuto orgánico:</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VII. Prestar servicios de salud en aspectos preventivos, médicos, quirúrgicos y de rehabilitación en sus áreas de especialización;</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lastRenderedPageBreak/>
              <w:t>VIII. Proporcionar consulta externa, atención hospitalaria y servicios de urgencias a la población que requiera atención médica en el campo de las neoplasias, hasta el límite de su capacidad instalada;</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XI. Asesorar a los centros especializados de investigación, enseñanza o atención médica de las entidades federativas y, en general, a cualquiera de sus instituciones públicas de salud;</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XII. Promover acciones para la protección de la salud, en lo relativo a los padecimientos propios de las neoplasias;</w:t>
            </w:r>
          </w:p>
        </w:tc>
      </w:tr>
      <w:tr w:rsidR="006D3994" w:rsidRPr="00E3576B" w:rsidTr="00CE30CE">
        <w:trPr>
          <w:trHeight w:val="306"/>
          <w:jc w:val="center"/>
        </w:trPr>
        <w:tc>
          <w:tcPr>
            <w:tcW w:w="3544" w:type="dxa"/>
            <w:noWrap/>
            <w:vAlign w:val="center"/>
          </w:tcPr>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lastRenderedPageBreak/>
              <w:t>NCA.-Instituto Nacional de Cardiología Ignacio Chávez</w:t>
            </w:r>
          </w:p>
        </w:tc>
        <w:tc>
          <w:tcPr>
            <w:tcW w:w="5687" w:type="dxa"/>
            <w:noWrap/>
            <w:vAlign w:val="center"/>
          </w:tcPr>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Artículo 3 del Estatuto orgánico:</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VII. Prestar servicios de salud en aspectos preventivos, médicos, quirúrgicos y de rehabilitación en su área de especialización;</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VIII. Proporcionar consulta externa, atención hospitalaria y servicios de urgencias a la población que requiera atención médica en el área de los padecimientos cardiovasculares, hasta el límite de su capacidad instalada;</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XI.</w:t>
            </w:r>
            <w:r w:rsidR="009E77FF" w:rsidRPr="00E3576B">
              <w:rPr>
                <w:rFonts w:ascii="Noto Sans" w:hAnsi="Noto Sans" w:cs="Noto Sans"/>
                <w:sz w:val="16"/>
                <w:szCs w:val="16"/>
              </w:rPr>
              <w:t xml:space="preserve"> </w:t>
            </w:r>
            <w:r w:rsidRPr="00E3576B">
              <w:rPr>
                <w:rFonts w:ascii="Noto Sans" w:hAnsi="Noto Sans" w:cs="Noto Sans"/>
                <w:sz w:val="16"/>
                <w:szCs w:val="16"/>
              </w:rPr>
              <w:t xml:space="preserve"> Asesorar a los centros especializados de investigación, enseñanza o atención médica de las entidades federativas y, en general, a cualquiera de sus instituciones públicas de salud;</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XII.</w:t>
            </w:r>
            <w:r w:rsidR="009E77FF" w:rsidRPr="00E3576B">
              <w:rPr>
                <w:rFonts w:ascii="Noto Sans" w:hAnsi="Noto Sans" w:cs="Noto Sans"/>
                <w:sz w:val="16"/>
                <w:szCs w:val="16"/>
              </w:rPr>
              <w:t xml:space="preserve"> </w:t>
            </w:r>
            <w:r w:rsidRPr="00E3576B">
              <w:rPr>
                <w:rFonts w:ascii="Noto Sans" w:hAnsi="Noto Sans" w:cs="Noto Sans"/>
                <w:sz w:val="16"/>
                <w:szCs w:val="16"/>
              </w:rPr>
              <w:t xml:space="preserve"> Promover acciones para la protección de la salud en lo relativo a los padecimientos cardiovasculares;</w:t>
            </w:r>
          </w:p>
        </w:tc>
      </w:tr>
      <w:tr w:rsidR="006D3994" w:rsidRPr="00E3576B" w:rsidTr="00CE30CE">
        <w:trPr>
          <w:trHeight w:val="306"/>
          <w:jc w:val="center"/>
        </w:trPr>
        <w:tc>
          <w:tcPr>
            <w:tcW w:w="3544" w:type="dxa"/>
            <w:noWrap/>
            <w:vAlign w:val="center"/>
          </w:tcPr>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t>NCD.-Instituto Nacional de Enfermedades Respiratorias Ismael Cosío Villegas</w:t>
            </w:r>
          </w:p>
        </w:tc>
        <w:tc>
          <w:tcPr>
            <w:tcW w:w="5687" w:type="dxa"/>
            <w:noWrap/>
            <w:vAlign w:val="center"/>
          </w:tcPr>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Artículo 3 del Estatuto orgánico:</w:t>
            </w:r>
          </w:p>
          <w:p w:rsidR="006D3994" w:rsidRPr="00E3576B" w:rsidRDefault="006D3994" w:rsidP="00B55FCB">
            <w:pPr>
              <w:ind w:hanging="2"/>
              <w:jc w:val="both"/>
              <w:rPr>
                <w:rFonts w:ascii="Noto Sans" w:hAnsi="Noto Sans" w:cs="Noto Sans"/>
                <w:sz w:val="16"/>
                <w:szCs w:val="16"/>
                <w:shd w:val="clear" w:color="auto" w:fill="FFFFFF"/>
              </w:rPr>
            </w:pPr>
            <w:r w:rsidRPr="00E3576B">
              <w:rPr>
                <w:rFonts w:ascii="Noto Sans" w:hAnsi="Noto Sans" w:cs="Noto Sans"/>
                <w:sz w:val="16"/>
                <w:szCs w:val="16"/>
                <w:shd w:val="clear" w:color="auto" w:fill="FFFFFF"/>
              </w:rPr>
              <w:t>…</w:t>
            </w:r>
          </w:p>
          <w:p w:rsidR="006D3994" w:rsidRPr="00E3576B" w:rsidRDefault="006D3994" w:rsidP="00B55FCB">
            <w:pPr>
              <w:ind w:hanging="2"/>
              <w:jc w:val="both"/>
              <w:rPr>
                <w:rFonts w:ascii="Noto Sans" w:hAnsi="Noto Sans" w:cs="Noto Sans"/>
                <w:sz w:val="16"/>
                <w:szCs w:val="16"/>
                <w:shd w:val="clear" w:color="auto" w:fill="FFFFFF"/>
              </w:rPr>
            </w:pPr>
            <w:r w:rsidRPr="00E3576B">
              <w:rPr>
                <w:rFonts w:ascii="Noto Sans" w:hAnsi="Noto Sans" w:cs="Noto Sans"/>
                <w:sz w:val="16"/>
                <w:szCs w:val="16"/>
                <w:shd w:val="clear" w:color="auto" w:fill="FFFFFF"/>
              </w:rPr>
              <w:t>VIII. Otorgar servicios de salud en aspectos preventivos, médicos, quirúrgicos y de rehabilitación en el ámbito de los padecimientos del aparato respiratorio;</w:t>
            </w:r>
          </w:p>
          <w:p w:rsidR="006D3994" w:rsidRPr="00E3576B" w:rsidRDefault="006D3994" w:rsidP="00B55FCB">
            <w:pPr>
              <w:ind w:hanging="2"/>
              <w:jc w:val="both"/>
              <w:rPr>
                <w:rFonts w:ascii="Noto Sans" w:hAnsi="Noto Sans" w:cs="Noto Sans"/>
                <w:sz w:val="16"/>
                <w:szCs w:val="16"/>
                <w:shd w:val="clear" w:color="auto" w:fill="FFFFFF"/>
              </w:rPr>
            </w:pPr>
            <w:r w:rsidRPr="00E3576B">
              <w:rPr>
                <w:rFonts w:ascii="Noto Sans" w:hAnsi="Noto Sans" w:cs="Noto Sans"/>
                <w:sz w:val="16"/>
                <w:szCs w:val="16"/>
                <w:shd w:val="clear" w:color="auto" w:fill="FFFFFF"/>
              </w:rPr>
              <w:t>IX. Proporcionar consulta externa, atención hospitalaria y servicios de urgencias a la población que requiera atención médica en el campo de los padecimientos del aparato respiratorio, hasta el límite de su capacidad instalada;</w:t>
            </w:r>
          </w:p>
          <w:p w:rsidR="006D3994" w:rsidRPr="00E3576B" w:rsidRDefault="006D3994" w:rsidP="00B55FCB">
            <w:pPr>
              <w:ind w:hanging="2"/>
              <w:jc w:val="both"/>
              <w:rPr>
                <w:rFonts w:ascii="Noto Sans" w:hAnsi="Noto Sans" w:cs="Noto Sans"/>
                <w:sz w:val="16"/>
                <w:szCs w:val="16"/>
                <w:shd w:val="clear" w:color="auto" w:fill="FFFFFF"/>
              </w:rPr>
            </w:pPr>
            <w:r w:rsidRPr="00E3576B">
              <w:rPr>
                <w:rFonts w:ascii="Noto Sans" w:hAnsi="Noto Sans" w:cs="Noto Sans"/>
                <w:sz w:val="16"/>
                <w:szCs w:val="16"/>
                <w:shd w:val="clear" w:color="auto" w:fill="FFFFFF"/>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XII. Asesorar a los centros especializados de investigación, enseñanza o atención médica de las entidades federativas y, en general, a cualquiera de sus instituciones públicas de salud;</w:t>
            </w:r>
          </w:p>
          <w:p w:rsidR="006D3994" w:rsidRPr="00E3576B" w:rsidRDefault="006D3994" w:rsidP="00B55FCB">
            <w:pPr>
              <w:ind w:hanging="2"/>
              <w:rPr>
                <w:rFonts w:ascii="Noto Sans" w:hAnsi="Noto Sans" w:cs="Noto Sans"/>
                <w:sz w:val="16"/>
                <w:szCs w:val="16"/>
              </w:rPr>
            </w:pPr>
            <w:r w:rsidRPr="00E3576B">
              <w:rPr>
                <w:rFonts w:ascii="Noto Sans" w:hAnsi="Noto Sans" w:cs="Noto Sans"/>
                <w:sz w:val="16"/>
                <w:szCs w:val="16"/>
                <w:shd w:val="clear" w:color="auto" w:fill="FFFFFF"/>
              </w:rPr>
              <w:t>XIII. Promover acciones para la protección de la salud, en lo relativo a los padecimientos propios del aparato respiratorio.</w:t>
            </w:r>
          </w:p>
        </w:tc>
      </w:tr>
      <w:tr w:rsidR="006D3994" w:rsidRPr="00E3576B" w:rsidTr="00CE30CE">
        <w:trPr>
          <w:trHeight w:val="306"/>
          <w:jc w:val="center"/>
        </w:trPr>
        <w:tc>
          <w:tcPr>
            <w:tcW w:w="3544" w:type="dxa"/>
            <w:noWrap/>
            <w:vAlign w:val="center"/>
          </w:tcPr>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t>NCE.-Instituto Nacional de Geriatría</w:t>
            </w:r>
          </w:p>
        </w:tc>
        <w:tc>
          <w:tcPr>
            <w:tcW w:w="5687" w:type="dxa"/>
            <w:noWrap/>
            <w:vAlign w:val="center"/>
          </w:tcPr>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Artículo 3 del Estatuto orgánico:</w:t>
            </w:r>
          </w:p>
          <w:p w:rsidR="006D3994" w:rsidRPr="00E3576B" w:rsidRDefault="006D3994" w:rsidP="00B55FCB">
            <w:pPr>
              <w:ind w:hanging="2"/>
              <w:jc w:val="both"/>
              <w:rPr>
                <w:rFonts w:ascii="Noto Sans" w:hAnsi="Noto Sans" w:cs="Noto Sans"/>
                <w:sz w:val="16"/>
                <w:szCs w:val="16"/>
              </w:rPr>
            </w:pP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I. Realizar estudios e investigaciones clínicas, epidemiológicas, experimentales, de desarrollo tecnológico y básicas, en las áreas biomédicas y sociomédicas en el campo de sus especialidades, para la comprensión, prevención, diagnóstico y tratamiento de las enfermedades, y rehabilitación de los afectados, así como promover medidas de salud;</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VII. Prestar servicios de asistencia en aspectos preventivos, médicos y de rehabilitación en sus áreas de especialización; hasta el límite de su capacidad instalada; VIII. Proporcionar servicios de consulta externa a la población que requiera atención médica en sus áreas de especialización, hasta el límite de la capacidad instalada</w:t>
            </w:r>
          </w:p>
        </w:tc>
      </w:tr>
      <w:tr w:rsidR="006D3994" w:rsidRPr="00E3576B" w:rsidTr="00CE30CE">
        <w:trPr>
          <w:trHeight w:val="306"/>
          <w:jc w:val="center"/>
        </w:trPr>
        <w:tc>
          <w:tcPr>
            <w:tcW w:w="3544" w:type="dxa"/>
            <w:noWrap/>
            <w:vAlign w:val="center"/>
          </w:tcPr>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t>NCG.-Instituto Nacional de Ciencias Médicas y Nutrición Salvador Zubirán</w:t>
            </w:r>
          </w:p>
        </w:tc>
        <w:tc>
          <w:tcPr>
            <w:tcW w:w="5687" w:type="dxa"/>
            <w:noWrap/>
            <w:vAlign w:val="center"/>
          </w:tcPr>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Artículo 3 del Estatuto orgánico:</w:t>
            </w:r>
          </w:p>
          <w:p w:rsidR="006D3994" w:rsidRPr="00E3576B" w:rsidRDefault="006D3994" w:rsidP="00B55FCB">
            <w:pPr>
              <w:shd w:val="clear" w:color="auto" w:fill="FFFFFF"/>
              <w:ind w:hanging="2"/>
              <w:jc w:val="both"/>
              <w:rPr>
                <w:rFonts w:ascii="Noto Sans" w:eastAsia="Times New Roman" w:hAnsi="Noto Sans" w:cs="Noto Sans"/>
                <w:bCs/>
                <w:sz w:val="16"/>
                <w:szCs w:val="16"/>
              </w:rPr>
            </w:pPr>
            <w:r w:rsidRPr="00E3576B">
              <w:rPr>
                <w:rFonts w:ascii="Noto Sans" w:eastAsia="Times New Roman" w:hAnsi="Noto Sans" w:cs="Noto Sans"/>
                <w:bCs/>
                <w:sz w:val="16"/>
                <w:szCs w:val="16"/>
              </w:rPr>
              <w:t>…</w:t>
            </w:r>
          </w:p>
          <w:p w:rsidR="006D3994" w:rsidRPr="00E3576B" w:rsidRDefault="006D3994" w:rsidP="00B55FCB">
            <w:pPr>
              <w:shd w:val="clear" w:color="auto" w:fill="FFFFFF"/>
              <w:ind w:hanging="2"/>
              <w:jc w:val="both"/>
              <w:rPr>
                <w:rFonts w:ascii="Noto Sans" w:eastAsia="Times New Roman" w:hAnsi="Noto Sans" w:cs="Noto Sans"/>
                <w:sz w:val="16"/>
                <w:szCs w:val="16"/>
              </w:rPr>
            </w:pPr>
            <w:r w:rsidRPr="00E3576B">
              <w:rPr>
                <w:rFonts w:ascii="Noto Sans" w:eastAsia="Times New Roman" w:hAnsi="Noto Sans" w:cs="Noto Sans"/>
                <w:bCs/>
                <w:sz w:val="16"/>
                <w:szCs w:val="16"/>
              </w:rPr>
              <w:t xml:space="preserve">VII </w:t>
            </w:r>
            <w:r w:rsidRPr="00E3576B">
              <w:rPr>
                <w:rFonts w:ascii="Noto Sans" w:eastAsia="Times New Roman" w:hAnsi="Noto Sans" w:cs="Noto Sans"/>
                <w:sz w:val="16"/>
                <w:szCs w:val="16"/>
              </w:rPr>
              <w:t>Prestar servicios de salud en aspectos preventivos, médicos, quirúrgicos y de rehabilitación en sus áreas de especialización;</w:t>
            </w:r>
          </w:p>
          <w:p w:rsidR="006D3994" w:rsidRPr="00E3576B" w:rsidRDefault="006D3994" w:rsidP="00B55FCB">
            <w:pPr>
              <w:shd w:val="clear" w:color="auto" w:fill="FFFFFF"/>
              <w:ind w:hanging="2"/>
              <w:jc w:val="both"/>
              <w:rPr>
                <w:rFonts w:ascii="Noto Sans" w:eastAsia="Times New Roman" w:hAnsi="Noto Sans" w:cs="Noto Sans"/>
                <w:sz w:val="16"/>
                <w:szCs w:val="16"/>
              </w:rPr>
            </w:pPr>
            <w:r w:rsidRPr="00E3576B">
              <w:rPr>
                <w:rFonts w:ascii="Noto Sans" w:eastAsia="Times New Roman" w:hAnsi="Noto Sans" w:cs="Noto Sans"/>
                <w:sz w:val="16"/>
                <w:szCs w:val="16"/>
              </w:rPr>
              <w:lastRenderedPageBreak/>
              <w:t>VIII Proporcionar consulta externa, atención hospitalaria y servicios de urgencias a la población que requiera atención médica en sus áreas de especialización, hasta el límite de su capacidad instalada;</w:t>
            </w:r>
          </w:p>
          <w:p w:rsidR="006D3994" w:rsidRPr="00E3576B" w:rsidRDefault="006D3994" w:rsidP="00B55FCB">
            <w:pPr>
              <w:shd w:val="clear" w:color="auto" w:fill="FFFFFF"/>
              <w:ind w:hanging="2"/>
              <w:jc w:val="both"/>
              <w:rPr>
                <w:rFonts w:ascii="Noto Sans" w:eastAsia="Times New Roman" w:hAnsi="Noto Sans" w:cs="Noto Sans"/>
                <w:sz w:val="16"/>
                <w:szCs w:val="16"/>
              </w:rPr>
            </w:pPr>
            <w:r w:rsidRPr="00E3576B">
              <w:rPr>
                <w:rFonts w:ascii="Noto Sans" w:eastAsia="Times New Roman" w:hAnsi="Noto Sans" w:cs="Noto Sans"/>
                <w:bCs/>
                <w:sz w:val="16"/>
                <w:szCs w:val="16"/>
              </w:rPr>
              <w:t>XI.</w:t>
            </w:r>
            <w:r w:rsidRPr="00E3576B">
              <w:rPr>
                <w:rFonts w:ascii="Noto Sans" w:eastAsia="Times New Roman" w:hAnsi="Noto Sans" w:cs="Noto Sans"/>
                <w:sz w:val="16"/>
                <w:szCs w:val="16"/>
              </w:rPr>
              <w:t xml:space="preserve"> Asesorar a los centros especializados de investigación, enseñanza o atención médica de las entidades federativas y, en general, a cualquiera de sus instituciones públicas de salud;</w:t>
            </w:r>
          </w:p>
          <w:p w:rsidR="006D3994" w:rsidRPr="00E3576B" w:rsidRDefault="006D3994" w:rsidP="00B55FCB">
            <w:pPr>
              <w:shd w:val="clear" w:color="auto" w:fill="FFFFFF"/>
              <w:ind w:hanging="2"/>
              <w:jc w:val="both"/>
              <w:rPr>
                <w:rFonts w:ascii="Noto Sans" w:eastAsia="Times New Roman" w:hAnsi="Noto Sans" w:cs="Noto Sans"/>
                <w:sz w:val="16"/>
                <w:szCs w:val="16"/>
              </w:rPr>
            </w:pPr>
            <w:r w:rsidRPr="00E3576B">
              <w:rPr>
                <w:rFonts w:ascii="Noto Sans" w:eastAsia="Times New Roman" w:hAnsi="Noto Sans" w:cs="Noto Sans"/>
                <w:sz w:val="16"/>
                <w:szCs w:val="16"/>
              </w:rPr>
              <w:t>…</w:t>
            </w:r>
          </w:p>
          <w:p w:rsidR="006D3994" w:rsidRPr="00E3576B" w:rsidRDefault="006D3994" w:rsidP="00B55FCB">
            <w:pPr>
              <w:shd w:val="clear" w:color="auto" w:fill="FFFFFF"/>
              <w:ind w:hanging="2"/>
              <w:jc w:val="both"/>
              <w:rPr>
                <w:rFonts w:ascii="Noto Sans" w:eastAsia="Times New Roman" w:hAnsi="Noto Sans" w:cs="Noto Sans"/>
                <w:sz w:val="16"/>
                <w:szCs w:val="16"/>
              </w:rPr>
            </w:pPr>
            <w:r w:rsidRPr="00E3576B">
              <w:rPr>
                <w:rFonts w:ascii="Noto Sans" w:eastAsia="Times New Roman" w:hAnsi="Noto Sans" w:cs="Noto Sans"/>
                <w:bCs/>
                <w:sz w:val="16"/>
                <w:szCs w:val="16"/>
              </w:rPr>
              <w:t>XII.</w:t>
            </w:r>
            <w:r w:rsidRPr="00E3576B">
              <w:rPr>
                <w:rFonts w:ascii="Noto Sans" w:eastAsia="Times New Roman" w:hAnsi="Noto Sans" w:cs="Noto Sans"/>
                <w:sz w:val="16"/>
                <w:szCs w:val="16"/>
              </w:rPr>
              <w:t xml:space="preserve"> Promover acciones para la protección de la salud, en lo relativo a los padecimientos propios de sus especialidades;</w:t>
            </w:r>
          </w:p>
          <w:p w:rsidR="006D3994" w:rsidRPr="00E3576B" w:rsidRDefault="006D3994" w:rsidP="00B55FCB">
            <w:pPr>
              <w:ind w:hanging="2"/>
              <w:jc w:val="center"/>
              <w:rPr>
                <w:rFonts w:ascii="Noto Sans" w:hAnsi="Noto Sans" w:cs="Noto Sans"/>
                <w:sz w:val="16"/>
                <w:szCs w:val="16"/>
              </w:rPr>
            </w:pPr>
          </w:p>
        </w:tc>
      </w:tr>
      <w:tr w:rsidR="006D3994" w:rsidRPr="00E3576B" w:rsidTr="00CE30CE">
        <w:trPr>
          <w:trHeight w:val="306"/>
          <w:jc w:val="center"/>
        </w:trPr>
        <w:tc>
          <w:tcPr>
            <w:tcW w:w="3544" w:type="dxa"/>
            <w:noWrap/>
            <w:vAlign w:val="center"/>
          </w:tcPr>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lastRenderedPageBreak/>
              <w:t>NCK.-Instituto Nacional de Neurología y Neurocirugía Manuel Velasco Suárez</w:t>
            </w:r>
          </w:p>
        </w:tc>
        <w:tc>
          <w:tcPr>
            <w:tcW w:w="5687" w:type="dxa"/>
            <w:noWrap/>
            <w:vAlign w:val="center"/>
          </w:tcPr>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Artículo 3 del Estatuto orgánico:</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III. Prestar servicios de salud en aspectos preventivos, médicos, quirúrgicos y de rehabilitación en el campo de las afecciones del sistema nervioso;</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IV. Proporcionar consulta externa, atención hospitalaria y servicios de urgencias a la población que requiera atención médica en el área de los padecimientos en el campo de las afecciones del sistema nervioso, hasta el límite de su capacidad instalada;</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IX. Asesorar a los centros especializados de investigación, enseñanza o atención médica de las entidades federativas y, en general, a cualquiera de sus instituciones públicas de salud;</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XIV. Promover acciones para la protección de la salud en lo relativo a los padecimientos en el campo de las afecciones del sistema nervioso;</w:t>
            </w:r>
          </w:p>
        </w:tc>
      </w:tr>
      <w:tr w:rsidR="006D3994" w:rsidRPr="00E3576B" w:rsidTr="00CE30CE">
        <w:trPr>
          <w:trHeight w:val="306"/>
          <w:jc w:val="center"/>
        </w:trPr>
        <w:tc>
          <w:tcPr>
            <w:tcW w:w="3544" w:type="dxa"/>
            <w:noWrap/>
            <w:vAlign w:val="center"/>
          </w:tcPr>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t>NCZ.-Instituto Nacional de Pediatría</w:t>
            </w:r>
          </w:p>
        </w:tc>
        <w:tc>
          <w:tcPr>
            <w:tcW w:w="5687" w:type="dxa"/>
            <w:noWrap/>
            <w:vAlign w:val="center"/>
          </w:tcPr>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Artículo 3 del Estatuto orgánico:</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VII. Prestar servicios de salud en aspectos preventivos, médico, quirúrgicos y de rehabilitación en sus áreas de especialización;</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VIII. Proporcionar consulta externa, atención hospitalaria y servicios de urgencias a la población que requiera atención médica en sus áreas de especialización, hasta el límite de su capacidad instalada;</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XI. Asesorar a los centros especializados de investigación, enseñanza o atención médica de las</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entidades federativas y, en general, a cualquiera de sus instituciones públicas de salud;</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XII. Promover acciones para la protección de la salud, en lo relativo a los padecimientos propios de las</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especialidades médicas que le corresponden,</w:t>
            </w:r>
          </w:p>
        </w:tc>
      </w:tr>
      <w:tr w:rsidR="006D3994" w:rsidRPr="00E3576B" w:rsidTr="00CE30CE">
        <w:trPr>
          <w:trHeight w:val="306"/>
          <w:jc w:val="center"/>
        </w:trPr>
        <w:tc>
          <w:tcPr>
            <w:tcW w:w="3544" w:type="dxa"/>
            <w:noWrap/>
            <w:vAlign w:val="center"/>
          </w:tcPr>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t>NDE.-Instituto Nacional de Perinatología Isidro Espinosa de los Reyes</w:t>
            </w:r>
          </w:p>
        </w:tc>
        <w:tc>
          <w:tcPr>
            <w:tcW w:w="5687" w:type="dxa"/>
            <w:noWrap/>
            <w:vAlign w:val="center"/>
          </w:tcPr>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Artículo 3 del Estatuto orgánico:</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VII. Prestar servicios de salud en aspectos preventivos, médicos, quirúrgicos y de rehabilitación en sus áreas de especialización (salud perinatal y salud reproductiva).</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VIII. Proporcionar consulta externa, atención hospitalaria y servicios de urgencias a la población que requiera atención médica en sus áreas de especialización, hasta el límite de su capacidad instalada.</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bCs/>
                <w:sz w:val="16"/>
                <w:szCs w:val="16"/>
                <w:shd w:val="clear" w:color="auto" w:fill="FFFFFF"/>
              </w:rPr>
              <w:t>XII.</w:t>
            </w:r>
            <w:r w:rsidRPr="00E3576B">
              <w:rPr>
                <w:rFonts w:ascii="Noto Sans" w:hAnsi="Noto Sans" w:cs="Noto Sans"/>
                <w:sz w:val="16"/>
                <w:szCs w:val="16"/>
                <w:shd w:val="clear" w:color="auto" w:fill="FFFFFF"/>
              </w:rPr>
              <w:t xml:space="preserve"> Promover acciones para la protección de la salud, en lo relativo a los padecimientos propios de sus especialidades.</w:t>
            </w:r>
          </w:p>
        </w:tc>
      </w:tr>
      <w:tr w:rsidR="006D3994" w:rsidRPr="00E3576B" w:rsidTr="00CE30CE">
        <w:trPr>
          <w:trHeight w:val="306"/>
          <w:jc w:val="center"/>
        </w:trPr>
        <w:tc>
          <w:tcPr>
            <w:tcW w:w="3544" w:type="dxa"/>
            <w:noWrap/>
            <w:vAlign w:val="center"/>
          </w:tcPr>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t>NDF.-Instituto Nacional de Rehabilitación Luis Guillermo Ibarra Ibarra</w:t>
            </w:r>
          </w:p>
        </w:tc>
        <w:tc>
          <w:tcPr>
            <w:tcW w:w="5687" w:type="dxa"/>
            <w:noWrap/>
            <w:vAlign w:val="center"/>
          </w:tcPr>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Artículo 3 del Estatuto orgánico:</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 xml:space="preserve">VII. Prestar servicios de salud en aspectos preventivos, médicos, quirúrgicos y de rehabilitación en sus áreas de especialización; VIII. </w:t>
            </w:r>
            <w:r w:rsidRPr="00E3576B">
              <w:rPr>
                <w:rFonts w:ascii="Noto Sans" w:hAnsi="Noto Sans" w:cs="Noto Sans"/>
                <w:sz w:val="16"/>
                <w:szCs w:val="16"/>
              </w:rPr>
              <w:lastRenderedPageBreak/>
              <w:t>Proporcionar consulta externa, atención hospitalaria y servicios de urgencias a la población que requiera atención médica en sus áreas de especialización, hasta el límite de su capacidad instalada;</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XI. Asesorar a los centros especializados de investigación, en enseñanza o atención médica de las entidades federativas y, en general, a cualquiera de sus instituciones públicas de salud;</w:t>
            </w:r>
          </w:p>
          <w:p w:rsidR="006D3994" w:rsidRPr="00E3576B" w:rsidRDefault="006D3994" w:rsidP="00B55FCB">
            <w:pPr>
              <w:ind w:hanging="2"/>
              <w:jc w:val="both"/>
              <w:rPr>
                <w:rFonts w:ascii="Noto Sans" w:hAnsi="Noto Sans" w:cs="Noto Sans"/>
                <w:sz w:val="16"/>
                <w:szCs w:val="16"/>
              </w:rPr>
            </w:pPr>
            <w:r w:rsidRPr="00E3576B">
              <w:rPr>
                <w:rFonts w:ascii="Noto Sans" w:hAnsi="Noto Sans" w:cs="Noto Sans"/>
                <w:sz w:val="16"/>
                <w:szCs w:val="16"/>
              </w:rPr>
              <w:t>XII. Promover acciones para la protección de la salud, en lo relativo a los padecimientos propios de sus áreas de especialización;</w:t>
            </w:r>
          </w:p>
        </w:tc>
      </w:tr>
      <w:tr w:rsidR="006D3994" w:rsidRPr="00E3576B" w:rsidTr="00CE30CE">
        <w:trPr>
          <w:trHeight w:val="306"/>
          <w:jc w:val="center"/>
        </w:trPr>
        <w:tc>
          <w:tcPr>
            <w:tcW w:w="3544" w:type="dxa"/>
            <w:noWrap/>
            <w:vAlign w:val="center"/>
          </w:tcPr>
          <w:p w:rsidR="006D3994" w:rsidRPr="00E3576B" w:rsidRDefault="006D3994" w:rsidP="00B55FCB">
            <w:pPr>
              <w:ind w:hanging="2"/>
              <w:jc w:val="both"/>
              <w:rPr>
                <w:rFonts w:ascii="Noto Sans" w:hAnsi="Noto Sans" w:cs="Noto Sans"/>
                <w:color w:val="000000"/>
                <w:sz w:val="16"/>
                <w:szCs w:val="16"/>
              </w:rPr>
            </w:pPr>
            <w:r w:rsidRPr="00E3576B">
              <w:rPr>
                <w:rFonts w:ascii="Noto Sans" w:hAnsi="Noto Sans" w:cs="Noto Sans"/>
                <w:color w:val="000000"/>
                <w:sz w:val="16"/>
                <w:szCs w:val="16"/>
              </w:rPr>
              <w:lastRenderedPageBreak/>
              <w:t>Y00.-Comisión Nacional de Salud Mental y Adicciones</w:t>
            </w:r>
          </w:p>
        </w:tc>
        <w:tc>
          <w:tcPr>
            <w:tcW w:w="5687" w:type="dxa"/>
            <w:noWrap/>
            <w:vAlign w:val="center"/>
          </w:tcPr>
          <w:p w:rsidR="006D3994" w:rsidRPr="00E3576B" w:rsidRDefault="006D3994" w:rsidP="00B55FCB">
            <w:pPr>
              <w:shd w:val="clear" w:color="auto" w:fill="FFFFFF"/>
              <w:jc w:val="both"/>
              <w:rPr>
                <w:rFonts w:ascii="Noto Sans" w:hAnsi="Noto Sans" w:cs="Noto Sans"/>
                <w:bCs/>
                <w:sz w:val="16"/>
                <w:szCs w:val="16"/>
              </w:rPr>
            </w:pPr>
            <w:r w:rsidRPr="00E3576B">
              <w:rPr>
                <w:rFonts w:ascii="Noto Sans" w:hAnsi="Noto Sans" w:cs="Noto Sans"/>
                <w:bCs/>
                <w:sz w:val="16"/>
                <w:szCs w:val="16"/>
              </w:rPr>
              <w:t>Artículo Quinto del Decreto por el que se crea la Comisión Nacional de Salud Mental y Adicciones como un órgano administrativo desconcentrado de la Secretaría de Salud:</w:t>
            </w:r>
          </w:p>
          <w:p w:rsidR="006D3994" w:rsidRPr="00E3576B" w:rsidRDefault="006D3994" w:rsidP="00B55FCB">
            <w:pPr>
              <w:shd w:val="clear" w:color="auto" w:fill="FFFFFF"/>
              <w:jc w:val="both"/>
              <w:rPr>
                <w:rFonts w:ascii="Noto Sans" w:hAnsi="Noto Sans" w:cs="Noto Sans"/>
                <w:sz w:val="16"/>
                <w:szCs w:val="16"/>
              </w:rPr>
            </w:pPr>
            <w:r w:rsidRPr="00E3576B">
              <w:rPr>
                <w:rFonts w:ascii="Noto Sans" w:hAnsi="Noto Sans" w:cs="Noto Sans"/>
                <w:sz w:val="16"/>
                <w:szCs w:val="16"/>
              </w:rPr>
              <w:t>…</w:t>
            </w:r>
          </w:p>
          <w:p w:rsidR="006D3994" w:rsidRPr="00E3576B" w:rsidRDefault="006D3994" w:rsidP="00B55FCB">
            <w:pPr>
              <w:shd w:val="clear" w:color="auto" w:fill="FFFFFF"/>
              <w:jc w:val="both"/>
              <w:rPr>
                <w:rFonts w:ascii="Noto Sans" w:hAnsi="Noto Sans" w:cs="Noto Sans"/>
                <w:sz w:val="16"/>
                <w:szCs w:val="16"/>
              </w:rPr>
            </w:pPr>
            <w:r w:rsidRPr="00E3576B">
              <w:rPr>
                <w:rFonts w:ascii="Noto Sans" w:hAnsi="Noto Sans" w:cs="Noto Sans"/>
                <w:sz w:val="16"/>
                <w:szCs w:val="16"/>
              </w:rPr>
              <w:t>III. Coordinar la prestación de los servicios en materia de salud mental y adicción, con el fin de promover la participación, concertación, coordinación, colaboración, difusión e intercambio científico con autoridades de los tres órdenes de gobierno, organizaciones privadas y sociales, y la comunidad;</w:t>
            </w:r>
          </w:p>
          <w:p w:rsidR="006D3994" w:rsidRPr="00E3576B" w:rsidRDefault="006D3994" w:rsidP="00B55FCB">
            <w:pPr>
              <w:shd w:val="clear" w:color="auto" w:fill="FFFFFF"/>
              <w:ind w:hanging="2"/>
              <w:jc w:val="both"/>
              <w:rPr>
                <w:rFonts w:ascii="Noto Sans" w:hAnsi="Noto Sans" w:cs="Noto Sans"/>
                <w:sz w:val="16"/>
                <w:szCs w:val="16"/>
              </w:rPr>
            </w:pPr>
            <w:r w:rsidRPr="00E3576B">
              <w:rPr>
                <w:rFonts w:ascii="Noto Sans" w:hAnsi="Noto Sans" w:cs="Noto Sans"/>
                <w:sz w:val="16"/>
                <w:szCs w:val="16"/>
              </w:rPr>
              <w:t>XII. Desarrollar y coordinar un sistema nacional e internacional de información, vigilancia y evaluación sobre la salud mental y adicciones, que permita la recolección de datos y análisis estadísticos;</w:t>
            </w:r>
          </w:p>
          <w:p w:rsidR="006D3994" w:rsidRPr="00E3576B" w:rsidRDefault="006D3994" w:rsidP="00B55FCB">
            <w:pPr>
              <w:ind w:hanging="2"/>
              <w:jc w:val="center"/>
              <w:rPr>
                <w:rFonts w:ascii="Noto Sans" w:hAnsi="Noto Sans" w:cs="Noto Sans"/>
                <w:sz w:val="16"/>
                <w:szCs w:val="16"/>
              </w:rPr>
            </w:pPr>
          </w:p>
        </w:tc>
      </w:tr>
    </w:tbl>
    <w:p w:rsidR="00B24957" w:rsidRDefault="0009411C" w:rsidP="005E6276">
      <w:pPr>
        <w:pStyle w:val="Ttulo1"/>
        <w:numPr>
          <w:ilvl w:val="1"/>
          <w:numId w:val="1"/>
        </w:numPr>
        <w:tabs>
          <w:tab w:val="left" w:pos="993"/>
        </w:tabs>
        <w:spacing w:before="120" w:after="120" w:line="276" w:lineRule="auto"/>
        <w:rPr>
          <w:rFonts w:ascii="Noto Sans" w:hAnsi="Noto Sans" w:cs="Noto Sans"/>
          <w:b/>
          <w:color w:val="1E5B4F"/>
          <w:sz w:val="22"/>
          <w:szCs w:val="22"/>
        </w:rPr>
      </w:pPr>
      <w:r>
        <w:rPr>
          <w:rFonts w:ascii="Noto Sans" w:hAnsi="Noto Sans" w:cs="Noto Sans"/>
          <w:b/>
          <w:color w:val="1E5B4F"/>
          <w:sz w:val="22"/>
          <w:szCs w:val="22"/>
        </w:rPr>
        <w:t>Bienes y servicios</w:t>
      </w:r>
      <w:bookmarkEnd w:id="18"/>
    </w:p>
    <w:p w:rsidR="007F123B" w:rsidRPr="007F123B" w:rsidRDefault="007F123B" w:rsidP="007F123B">
      <w:pPr>
        <w:jc w:val="both"/>
        <w:rPr>
          <w:rFonts w:ascii="Noto Sans" w:hAnsi="Noto Sans" w:cs="Noto Sans"/>
          <w:sz w:val="20"/>
          <w:szCs w:val="20"/>
        </w:rPr>
      </w:pPr>
      <w:r w:rsidRPr="007F123B">
        <w:rPr>
          <w:rFonts w:ascii="Noto Sans" w:hAnsi="Noto Sans" w:cs="Noto Sans"/>
          <w:sz w:val="20"/>
          <w:szCs w:val="20"/>
        </w:rPr>
        <w:t>Indice de utilización de consultorio</w:t>
      </w:r>
    </w:p>
    <w:p w:rsidR="007F123B" w:rsidRDefault="007F123B" w:rsidP="00F868FB">
      <w:pPr>
        <w:jc w:val="both"/>
        <w:rPr>
          <w:rFonts w:ascii="Noto Sans" w:hAnsi="Noto Sans" w:cs="Noto Sans"/>
          <w:sz w:val="20"/>
          <w:szCs w:val="20"/>
        </w:rPr>
      </w:pPr>
    </w:p>
    <w:p w:rsidR="007F123B" w:rsidRDefault="007F123B" w:rsidP="00F868FB">
      <w:pPr>
        <w:jc w:val="both"/>
        <w:rPr>
          <w:rFonts w:ascii="Noto Sans" w:hAnsi="Noto Sans" w:cs="Noto Sans"/>
          <w:sz w:val="20"/>
          <w:szCs w:val="20"/>
        </w:rPr>
      </w:pPr>
      <w:r>
        <w:rPr>
          <w:rFonts w:ascii="Noto Sans" w:hAnsi="Noto Sans" w:cs="Noto Sans"/>
          <w:sz w:val="20"/>
          <w:szCs w:val="20"/>
        </w:rPr>
        <w:t>Indice de utilización de salas de cirugía</w:t>
      </w:r>
    </w:p>
    <w:p w:rsidR="007F123B" w:rsidRDefault="007F123B" w:rsidP="00F868FB">
      <w:pPr>
        <w:jc w:val="both"/>
        <w:rPr>
          <w:rFonts w:ascii="Noto Sans" w:hAnsi="Noto Sans" w:cs="Noto Sans"/>
          <w:sz w:val="20"/>
          <w:szCs w:val="20"/>
        </w:rPr>
      </w:pPr>
    </w:p>
    <w:p w:rsidR="007F123B" w:rsidRDefault="007F123B" w:rsidP="00F868FB">
      <w:pPr>
        <w:jc w:val="both"/>
        <w:rPr>
          <w:rFonts w:ascii="Noto Sans" w:hAnsi="Noto Sans" w:cs="Noto Sans"/>
          <w:sz w:val="20"/>
          <w:szCs w:val="20"/>
        </w:rPr>
      </w:pPr>
      <w:r>
        <w:rPr>
          <w:rFonts w:ascii="Noto Sans" w:hAnsi="Noto Sans" w:cs="Noto Sans"/>
          <w:sz w:val="20"/>
          <w:szCs w:val="20"/>
        </w:rPr>
        <w:t>Eficacia en el otorgamiento de la consulta programada</w:t>
      </w:r>
    </w:p>
    <w:p w:rsidR="007F123B" w:rsidRDefault="007F123B" w:rsidP="007F123B">
      <w:pPr>
        <w:jc w:val="both"/>
        <w:rPr>
          <w:rFonts w:ascii="Noto Sans" w:hAnsi="Noto Sans" w:cs="Noto Sans"/>
          <w:sz w:val="20"/>
          <w:szCs w:val="20"/>
        </w:rPr>
      </w:pPr>
    </w:p>
    <w:p w:rsidR="007F123B" w:rsidRDefault="007F123B" w:rsidP="007F123B">
      <w:pPr>
        <w:jc w:val="both"/>
        <w:rPr>
          <w:rFonts w:ascii="Noto Sans" w:hAnsi="Noto Sans" w:cs="Noto Sans"/>
          <w:sz w:val="20"/>
          <w:szCs w:val="20"/>
        </w:rPr>
      </w:pPr>
      <w:r w:rsidRPr="007F123B">
        <w:rPr>
          <w:rFonts w:ascii="Noto Sans" w:hAnsi="Noto Sans" w:cs="Noto Sans"/>
          <w:sz w:val="20"/>
          <w:szCs w:val="20"/>
        </w:rPr>
        <w:t>Porcentaje de sesiones de rehabilitación especializadas realizadas respecto al total realizado </w:t>
      </w:r>
    </w:p>
    <w:p w:rsidR="007F123B" w:rsidRDefault="007F123B" w:rsidP="007F123B">
      <w:pPr>
        <w:jc w:val="both"/>
        <w:rPr>
          <w:rFonts w:ascii="Noto Sans" w:hAnsi="Noto Sans" w:cs="Noto Sans"/>
          <w:sz w:val="20"/>
          <w:szCs w:val="20"/>
        </w:rPr>
      </w:pPr>
    </w:p>
    <w:p w:rsidR="007F123B" w:rsidRDefault="007F123B" w:rsidP="007F123B">
      <w:pPr>
        <w:jc w:val="both"/>
        <w:rPr>
          <w:rFonts w:ascii="Noto Sans" w:hAnsi="Noto Sans" w:cs="Noto Sans"/>
          <w:sz w:val="20"/>
          <w:szCs w:val="20"/>
        </w:rPr>
      </w:pPr>
      <w:r w:rsidRPr="007F123B">
        <w:rPr>
          <w:rFonts w:ascii="Noto Sans" w:hAnsi="Noto Sans" w:cs="Noto Sans"/>
          <w:sz w:val="20"/>
          <w:szCs w:val="20"/>
        </w:rPr>
        <w:t>Porcentaje de usuarios con percepción de satisfacción de la calidad de la atención médica hospitalaria recibida superior a 80 puntos porcentuales </w:t>
      </w:r>
    </w:p>
    <w:p w:rsidR="007F123B" w:rsidRDefault="007F123B" w:rsidP="007F123B">
      <w:pPr>
        <w:jc w:val="both"/>
        <w:rPr>
          <w:rFonts w:ascii="Noto Sans" w:hAnsi="Noto Sans" w:cs="Noto Sans"/>
          <w:sz w:val="20"/>
          <w:szCs w:val="20"/>
        </w:rPr>
      </w:pPr>
    </w:p>
    <w:p w:rsidR="007F123B" w:rsidRDefault="007F123B" w:rsidP="007F123B">
      <w:pPr>
        <w:jc w:val="both"/>
        <w:rPr>
          <w:rFonts w:ascii="Noto Sans" w:hAnsi="Noto Sans" w:cs="Noto Sans"/>
          <w:sz w:val="20"/>
          <w:szCs w:val="20"/>
        </w:rPr>
      </w:pPr>
      <w:r w:rsidRPr="007F123B">
        <w:rPr>
          <w:rFonts w:ascii="Noto Sans" w:hAnsi="Noto Sans" w:cs="Noto Sans"/>
          <w:sz w:val="20"/>
          <w:szCs w:val="20"/>
        </w:rPr>
        <w:t>Porcentaje de usuarios con percepción de satisfacción de la calidad de la atención médica ambulatoria recibida superior a 80 puntos porcentuales </w:t>
      </w:r>
    </w:p>
    <w:p w:rsidR="007F123B" w:rsidRDefault="007F123B" w:rsidP="007F123B">
      <w:pPr>
        <w:jc w:val="both"/>
        <w:rPr>
          <w:rFonts w:ascii="Noto Sans" w:hAnsi="Noto Sans" w:cs="Noto Sans"/>
          <w:sz w:val="20"/>
          <w:szCs w:val="20"/>
        </w:rPr>
      </w:pPr>
    </w:p>
    <w:p w:rsidR="007F123B" w:rsidRDefault="007F123B" w:rsidP="007F123B">
      <w:pPr>
        <w:jc w:val="both"/>
        <w:rPr>
          <w:rFonts w:ascii="Noto Sans" w:hAnsi="Noto Sans" w:cs="Noto Sans"/>
          <w:sz w:val="20"/>
          <w:szCs w:val="20"/>
        </w:rPr>
      </w:pPr>
      <w:r w:rsidRPr="007F123B">
        <w:rPr>
          <w:rFonts w:ascii="Noto Sans" w:hAnsi="Noto Sans" w:cs="Noto Sans"/>
          <w:sz w:val="20"/>
          <w:szCs w:val="20"/>
        </w:rPr>
        <w:t>Promedio de días estancia</w:t>
      </w:r>
    </w:p>
    <w:p w:rsidR="007F123B" w:rsidRDefault="007F123B" w:rsidP="007F123B">
      <w:pPr>
        <w:jc w:val="both"/>
        <w:rPr>
          <w:rFonts w:ascii="Noto Sans" w:hAnsi="Noto Sans" w:cs="Noto Sans"/>
          <w:sz w:val="20"/>
          <w:szCs w:val="20"/>
        </w:rPr>
      </w:pPr>
    </w:p>
    <w:p w:rsidR="007F123B" w:rsidRDefault="007F123B" w:rsidP="007F123B">
      <w:pPr>
        <w:jc w:val="both"/>
        <w:rPr>
          <w:rFonts w:ascii="Noto Sans" w:hAnsi="Noto Sans" w:cs="Noto Sans"/>
          <w:sz w:val="20"/>
          <w:szCs w:val="20"/>
        </w:rPr>
      </w:pPr>
      <w:r w:rsidRPr="007F123B">
        <w:rPr>
          <w:rFonts w:ascii="Noto Sans" w:hAnsi="Noto Sans" w:cs="Noto Sans"/>
          <w:sz w:val="20"/>
          <w:szCs w:val="20"/>
        </w:rPr>
        <w:t>Tasa de reingresos hospitalarios por patologías no resueltas</w:t>
      </w:r>
    </w:p>
    <w:p w:rsidR="007F123B" w:rsidRDefault="007F123B" w:rsidP="007F123B">
      <w:pPr>
        <w:jc w:val="both"/>
        <w:rPr>
          <w:rFonts w:ascii="Noto Sans" w:hAnsi="Noto Sans" w:cs="Noto Sans"/>
          <w:sz w:val="20"/>
          <w:szCs w:val="20"/>
        </w:rPr>
      </w:pPr>
    </w:p>
    <w:p w:rsidR="007F123B" w:rsidRDefault="007F123B" w:rsidP="007F123B">
      <w:pPr>
        <w:jc w:val="both"/>
        <w:rPr>
          <w:rFonts w:ascii="Noto Sans" w:hAnsi="Noto Sans" w:cs="Noto Sans"/>
          <w:sz w:val="20"/>
          <w:szCs w:val="20"/>
        </w:rPr>
      </w:pPr>
      <w:r w:rsidRPr="007F123B">
        <w:rPr>
          <w:rFonts w:ascii="Noto Sans" w:hAnsi="Noto Sans" w:cs="Noto Sans"/>
          <w:sz w:val="20"/>
          <w:szCs w:val="20"/>
        </w:rPr>
        <w:t>Proporción de consultas de primera vez respecto a preconsultas</w:t>
      </w:r>
    </w:p>
    <w:p w:rsidR="007F123B" w:rsidRDefault="007F123B" w:rsidP="007F123B">
      <w:pPr>
        <w:jc w:val="both"/>
        <w:rPr>
          <w:rFonts w:ascii="Noto Sans" w:hAnsi="Noto Sans" w:cs="Noto Sans"/>
          <w:sz w:val="20"/>
          <w:szCs w:val="20"/>
        </w:rPr>
      </w:pPr>
    </w:p>
    <w:p w:rsidR="007F123B" w:rsidRDefault="007F123B" w:rsidP="007F123B">
      <w:pPr>
        <w:jc w:val="both"/>
        <w:rPr>
          <w:rFonts w:ascii="Noto Sans" w:hAnsi="Noto Sans" w:cs="Noto Sans"/>
          <w:sz w:val="20"/>
          <w:szCs w:val="20"/>
        </w:rPr>
      </w:pPr>
      <w:r w:rsidRPr="007F123B">
        <w:rPr>
          <w:rFonts w:ascii="Noto Sans" w:hAnsi="Noto Sans" w:cs="Noto Sans"/>
          <w:sz w:val="20"/>
          <w:szCs w:val="20"/>
        </w:rPr>
        <w:t>Porcentaje de pacientes atendidos de segundo nivel</w:t>
      </w:r>
    </w:p>
    <w:p w:rsidR="007F123B" w:rsidRDefault="007F123B" w:rsidP="007F123B">
      <w:pPr>
        <w:jc w:val="both"/>
        <w:rPr>
          <w:rFonts w:ascii="Noto Sans" w:hAnsi="Noto Sans" w:cs="Noto Sans"/>
          <w:sz w:val="20"/>
          <w:szCs w:val="20"/>
        </w:rPr>
      </w:pPr>
    </w:p>
    <w:p w:rsidR="007F123B" w:rsidRDefault="007F123B" w:rsidP="007F123B">
      <w:pPr>
        <w:jc w:val="both"/>
        <w:rPr>
          <w:rFonts w:ascii="Noto Sans" w:hAnsi="Noto Sans" w:cs="Noto Sans"/>
          <w:sz w:val="20"/>
          <w:szCs w:val="20"/>
        </w:rPr>
      </w:pPr>
      <w:r w:rsidRPr="007F123B">
        <w:rPr>
          <w:rFonts w:ascii="Noto Sans" w:hAnsi="Noto Sans" w:cs="Noto Sans"/>
          <w:sz w:val="20"/>
          <w:szCs w:val="20"/>
        </w:rPr>
        <w:t>Porcentaje de pacientes atendidos de tercer nivel</w:t>
      </w:r>
    </w:p>
    <w:p w:rsidR="007F123B" w:rsidRDefault="007F123B" w:rsidP="007F123B">
      <w:pPr>
        <w:jc w:val="both"/>
        <w:rPr>
          <w:rFonts w:ascii="Noto Sans" w:hAnsi="Noto Sans" w:cs="Noto Sans"/>
          <w:sz w:val="20"/>
          <w:szCs w:val="20"/>
        </w:rPr>
      </w:pPr>
    </w:p>
    <w:p w:rsidR="007F123B" w:rsidRPr="007F123B" w:rsidRDefault="007F123B" w:rsidP="007F123B">
      <w:pPr>
        <w:jc w:val="both"/>
        <w:rPr>
          <w:rFonts w:ascii="Noto Sans" w:hAnsi="Noto Sans" w:cs="Noto Sans"/>
          <w:sz w:val="20"/>
          <w:szCs w:val="20"/>
        </w:rPr>
      </w:pPr>
      <w:r w:rsidRPr="007F123B">
        <w:rPr>
          <w:rFonts w:ascii="Noto Sans" w:hAnsi="Noto Sans" w:cs="Noto Sans"/>
          <w:sz w:val="20"/>
          <w:szCs w:val="20"/>
        </w:rPr>
        <w:lastRenderedPageBreak/>
        <w:t>Tasa de infección nosocomial por mil días de estancia hospitalaria</w:t>
      </w:r>
    </w:p>
    <w:p w:rsidR="00B24957" w:rsidRPr="00CE30CE" w:rsidRDefault="00C52343" w:rsidP="005E6276">
      <w:pPr>
        <w:pStyle w:val="Ttulo1"/>
        <w:numPr>
          <w:ilvl w:val="1"/>
          <w:numId w:val="1"/>
        </w:numPr>
        <w:tabs>
          <w:tab w:val="left" w:pos="993"/>
        </w:tabs>
        <w:spacing w:before="120" w:after="120" w:line="276" w:lineRule="auto"/>
        <w:rPr>
          <w:rFonts w:ascii="Noto Sans" w:hAnsi="Noto Sans" w:cs="Noto Sans"/>
          <w:b/>
          <w:color w:val="1E5B4F"/>
          <w:sz w:val="22"/>
          <w:szCs w:val="22"/>
        </w:rPr>
      </w:pPr>
      <w:bookmarkStart w:id="19" w:name="_Toc201830236"/>
      <w:r w:rsidRPr="00CE30CE">
        <w:rPr>
          <w:rFonts w:ascii="Noto Sans" w:hAnsi="Noto Sans" w:cs="Noto Sans"/>
          <w:b/>
          <w:color w:val="1E5B4F"/>
          <w:sz w:val="22"/>
          <w:szCs w:val="22"/>
        </w:rPr>
        <w:t>Cobertura</w:t>
      </w:r>
      <w:bookmarkEnd w:id="19"/>
    </w:p>
    <w:p w:rsidR="0083068A" w:rsidRDefault="0083068A" w:rsidP="00CE30CE">
      <w:pPr>
        <w:jc w:val="both"/>
        <w:rPr>
          <w:rFonts w:ascii="Noto Sans" w:hAnsi="Noto Sans" w:cs="Noto Sans"/>
          <w:sz w:val="20"/>
          <w:szCs w:val="20"/>
        </w:rPr>
      </w:pPr>
      <w:r w:rsidRPr="00CE30CE">
        <w:rPr>
          <w:rFonts w:ascii="Noto Sans" w:hAnsi="Noto Sans" w:cs="Noto Sans"/>
          <w:sz w:val="20"/>
          <w:szCs w:val="20"/>
        </w:rPr>
        <w:t>Población que acuda a los Instituto Nacionales de Salud y Hospitale</w:t>
      </w:r>
      <w:r w:rsidR="00CE30CE">
        <w:rPr>
          <w:rFonts w:ascii="Noto Sans" w:hAnsi="Noto Sans" w:cs="Noto Sans"/>
          <w:sz w:val="20"/>
          <w:szCs w:val="20"/>
        </w:rPr>
        <w:t>s Federales de Referencia para su atención.</w:t>
      </w:r>
    </w:p>
    <w:p w:rsidR="00B53719" w:rsidRDefault="00B53719" w:rsidP="00CE30CE">
      <w:pPr>
        <w:jc w:val="both"/>
        <w:rPr>
          <w:rFonts w:ascii="Noto Sans" w:hAnsi="Noto Sans" w:cs="Noto Sans"/>
          <w:sz w:val="20"/>
          <w:szCs w:val="20"/>
        </w:rPr>
      </w:pPr>
      <w:r>
        <w:rPr>
          <w:rFonts w:ascii="Noto Sans" w:hAnsi="Noto Sans" w:cs="Noto Sans"/>
          <w:sz w:val="20"/>
          <w:szCs w:val="20"/>
        </w:rPr>
        <w:t>Dentro de esta obertura, el programa se enfoca en aquellos pacientrs que no cuenten con seguridad social, sin embargo en caso de urgerncia o emergencia médica, la atención brindada en el área de urgencias se apertura para todas las personas, inclusive si cuentan con derechohabiencia.</w:t>
      </w:r>
    </w:p>
    <w:p w:rsidR="00B53719" w:rsidRPr="00CE30CE" w:rsidRDefault="00B53719" w:rsidP="00CE30CE">
      <w:pPr>
        <w:jc w:val="both"/>
        <w:rPr>
          <w:rFonts w:ascii="Noto Sans" w:hAnsi="Noto Sans" w:cs="Noto Sans"/>
          <w:sz w:val="20"/>
          <w:szCs w:val="20"/>
        </w:rPr>
      </w:pPr>
      <w:r>
        <w:rPr>
          <w:rFonts w:ascii="Noto Sans" w:hAnsi="Noto Sans" w:cs="Noto Sans"/>
          <w:sz w:val="20"/>
          <w:szCs w:val="20"/>
        </w:rPr>
        <w:t>Los Institutos Nacionales de Salud y los Hospitales federales de Referencia, cuentan con mecanismos para solicitud de consulta de primera vez, consulta subsecuentes, cirugías programadas y de urgencia; los cuales permiten la función de estos durante los 365 días del año. A través de la generación de campañas para algunas enfermedades, se obtienen una mayor cantidad de consultas o intrvenciones quirúrgicas, un ejemplo de esto es el programa “Ver por México” el cuál se ha enfocado en la cirugía de catarata para mejorar la visión en los pacientes mexicanos con esta enfermedad.</w:t>
      </w:r>
    </w:p>
    <w:p w:rsidR="00B24957" w:rsidRPr="00CE30CE" w:rsidRDefault="006D7F87" w:rsidP="005E6276">
      <w:pPr>
        <w:pStyle w:val="Ttulo1"/>
        <w:numPr>
          <w:ilvl w:val="1"/>
          <w:numId w:val="1"/>
        </w:numPr>
        <w:tabs>
          <w:tab w:val="left" w:pos="993"/>
        </w:tabs>
        <w:spacing w:before="120" w:after="120" w:line="276" w:lineRule="auto"/>
        <w:rPr>
          <w:rFonts w:ascii="Noto Sans" w:hAnsi="Noto Sans" w:cs="Noto Sans"/>
          <w:b/>
          <w:color w:val="1E5B4F"/>
          <w:sz w:val="22"/>
          <w:szCs w:val="22"/>
        </w:rPr>
      </w:pPr>
      <w:bookmarkStart w:id="20" w:name="_Toc201830237"/>
      <w:r w:rsidRPr="00CE30CE">
        <w:rPr>
          <w:rFonts w:ascii="Noto Sans" w:hAnsi="Noto Sans" w:cs="Noto Sans"/>
          <w:b/>
          <w:color w:val="1E5B4F"/>
          <w:sz w:val="22"/>
          <w:szCs w:val="22"/>
        </w:rPr>
        <w:t>Registro de población atendida</w:t>
      </w:r>
      <w:bookmarkEnd w:id="20"/>
    </w:p>
    <w:p w:rsidR="0083068A" w:rsidRPr="00CE30CE" w:rsidRDefault="0083068A" w:rsidP="00CE30CE">
      <w:pPr>
        <w:jc w:val="both"/>
        <w:rPr>
          <w:rFonts w:ascii="Noto Sans" w:hAnsi="Noto Sans" w:cs="Noto Sans"/>
          <w:sz w:val="20"/>
          <w:szCs w:val="20"/>
        </w:rPr>
      </w:pPr>
      <w:r w:rsidRPr="00CE30CE">
        <w:rPr>
          <w:rFonts w:ascii="Noto Sans" w:hAnsi="Noto Sans" w:cs="Noto Sans"/>
          <w:sz w:val="20"/>
          <w:szCs w:val="20"/>
        </w:rPr>
        <w:t>El Programa presupuestario no cuenta con un padrón de beneficiarios, en virtud de que no otorga apoyos ni subsidios , motivo por el cual no forma parte del Sistema Integral de Información de padrones de Programas Gubernamentales.</w:t>
      </w:r>
    </w:p>
    <w:p w:rsidR="00CE30CE" w:rsidRDefault="0083068A" w:rsidP="00CE30CE">
      <w:pPr>
        <w:jc w:val="both"/>
        <w:rPr>
          <w:rFonts w:ascii="Noto Sans" w:hAnsi="Noto Sans" w:cs="Noto Sans"/>
          <w:sz w:val="20"/>
          <w:szCs w:val="20"/>
        </w:rPr>
      </w:pPr>
      <w:r w:rsidRPr="00CE30CE">
        <w:rPr>
          <w:rFonts w:ascii="Noto Sans" w:hAnsi="Noto Sans" w:cs="Noto Sans"/>
          <w:sz w:val="20"/>
          <w:szCs w:val="20"/>
        </w:rPr>
        <w:t>Sin embargo, cada unidad médica cuenta con un registro nominal de los pacientes atendidos, mediante el cumplimiento de la Norma Oficial Mexicana NOM-004-SSA3-2012, “Del expediente clínico”, el cual se constituye en una herramienta de uso obligatorio para el personal del área de la salud, de los sectores público y contiene información y datos personales de un paciente, que puede estar integrado por documentos escritos, gráficos, imagenológicos, electrónicos, magnéticos, electromagnéticos, ópticos, magneto-ópticos y de otras tecnologías, mediante los cuales se hace constar en diferentes momentos del proceso de la atención médica, tal y como lo establece la Ley General de Salud.</w:t>
      </w:r>
    </w:p>
    <w:p w:rsidR="00BD56A3" w:rsidRDefault="00BD56A3" w:rsidP="00CE30CE">
      <w:pPr>
        <w:jc w:val="both"/>
        <w:rPr>
          <w:rFonts w:ascii="Noto Sans" w:hAnsi="Noto Sans" w:cs="Noto Sans"/>
          <w:sz w:val="20"/>
          <w:szCs w:val="20"/>
        </w:rPr>
      </w:pPr>
      <w:r>
        <w:rPr>
          <w:rFonts w:ascii="Noto Sans" w:hAnsi="Noto Sans" w:cs="Noto Sans"/>
          <w:sz w:val="20"/>
          <w:szCs w:val="20"/>
        </w:rPr>
        <w:t>Como se mostro en el anexo 2, los egresos hospitalarios del PP023 y que nos muestran la numeralia de la población atendida son:</w:t>
      </w:r>
    </w:p>
    <w:p w:rsidR="00BD56A3" w:rsidRDefault="00BD56A3" w:rsidP="00BD56A3">
      <w:pPr>
        <w:spacing w:line="276" w:lineRule="auto"/>
        <w:ind w:hanging="2"/>
        <w:jc w:val="both"/>
        <w:rPr>
          <w:rFonts w:ascii="Noto Sans" w:eastAsia="Times" w:hAnsi="Noto Sans" w:cs="Noto Sans"/>
          <w:b/>
          <w:color w:val="000000"/>
          <w:sz w:val="20"/>
          <w:szCs w:val="20"/>
        </w:rPr>
      </w:pPr>
    </w:p>
    <w:p w:rsidR="00BD56A3" w:rsidRPr="007715DC" w:rsidRDefault="00BD56A3" w:rsidP="00BD56A3">
      <w:pPr>
        <w:spacing w:line="276" w:lineRule="auto"/>
        <w:ind w:hanging="2"/>
        <w:jc w:val="both"/>
        <w:rPr>
          <w:rFonts w:ascii="Noto Sans" w:eastAsia="Times" w:hAnsi="Noto Sans" w:cs="Noto Sans"/>
          <w:color w:val="000000"/>
          <w:sz w:val="20"/>
          <w:szCs w:val="20"/>
        </w:rPr>
      </w:pPr>
      <w:r w:rsidRPr="007715DC">
        <w:rPr>
          <w:rFonts w:ascii="Noto Sans" w:eastAsia="Times" w:hAnsi="Noto Sans" w:cs="Noto Sans"/>
          <w:b/>
          <w:color w:val="000000"/>
          <w:sz w:val="20"/>
          <w:szCs w:val="20"/>
        </w:rPr>
        <w:t>Tabla 2</w:t>
      </w:r>
      <w:r w:rsidRPr="007715DC">
        <w:rPr>
          <w:rFonts w:ascii="Noto Sans" w:eastAsia="Times" w:hAnsi="Noto Sans" w:cs="Noto Sans"/>
          <w:color w:val="000000"/>
          <w:sz w:val="20"/>
          <w:szCs w:val="20"/>
        </w:rPr>
        <w:t>.</w:t>
      </w:r>
      <w:r>
        <w:rPr>
          <w:rFonts w:ascii="Noto Sans" w:eastAsia="Times" w:hAnsi="Noto Sans" w:cs="Noto Sans"/>
          <w:color w:val="000000"/>
          <w:sz w:val="20"/>
          <w:szCs w:val="20"/>
        </w:rPr>
        <w:t xml:space="preserve"> Egresos hospitalarios – Pp E023</w:t>
      </w:r>
      <w:r w:rsidRPr="007715DC">
        <w:rPr>
          <w:rFonts w:ascii="Noto Sans" w:eastAsia="Times" w:hAnsi="Noto Sans" w:cs="Noto Sans"/>
          <w:color w:val="000000"/>
          <w:sz w:val="20"/>
          <w:szCs w:val="20"/>
        </w:rPr>
        <w:t xml:space="preserve"> México, 2019-2023</w:t>
      </w:r>
    </w:p>
    <w:tbl>
      <w:tblPr>
        <w:tblW w:w="9703" w:type="dxa"/>
        <w:tblInd w:w="-436" w:type="dxa"/>
        <w:tblLayout w:type="fixed"/>
        <w:tblCellMar>
          <w:left w:w="70" w:type="dxa"/>
          <w:right w:w="70" w:type="dxa"/>
        </w:tblCellMar>
        <w:tblLook w:val="04A0" w:firstRow="1" w:lastRow="0" w:firstColumn="1" w:lastColumn="0" w:noHBand="0" w:noVBand="1"/>
      </w:tblPr>
      <w:tblGrid>
        <w:gridCol w:w="2411"/>
        <w:gridCol w:w="822"/>
        <w:gridCol w:w="567"/>
        <w:gridCol w:w="7"/>
        <w:gridCol w:w="815"/>
        <w:gridCol w:w="567"/>
        <w:gridCol w:w="9"/>
        <w:gridCol w:w="842"/>
        <w:gridCol w:w="567"/>
        <w:gridCol w:w="9"/>
        <w:gridCol w:w="813"/>
        <w:gridCol w:w="708"/>
        <w:gridCol w:w="22"/>
        <w:gridCol w:w="800"/>
        <w:gridCol w:w="709"/>
        <w:gridCol w:w="35"/>
      </w:tblGrid>
      <w:tr w:rsidR="00BD56A3" w:rsidRPr="00AA6476" w:rsidTr="00B53719">
        <w:trPr>
          <w:trHeight w:val="300"/>
          <w:tblHeader/>
        </w:trPr>
        <w:tc>
          <w:tcPr>
            <w:tcW w:w="2411" w:type="dxa"/>
            <w:vMerge w:val="restart"/>
            <w:tcBorders>
              <w:top w:val="single" w:sz="8" w:space="0" w:color="BFBFBF"/>
              <w:left w:val="single" w:sz="8" w:space="0" w:color="BFBFBF"/>
              <w:bottom w:val="single" w:sz="8" w:space="0" w:color="BFBFBF"/>
              <w:right w:val="single" w:sz="8" w:space="0" w:color="BFBFBF"/>
            </w:tcBorders>
            <w:shd w:val="clear" w:color="000000" w:fill="9A0003"/>
            <w:vAlign w:val="center"/>
            <w:hideMark/>
          </w:tcPr>
          <w:p w:rsidR="00BD56A3" w:rsidRPr="00AA6476" w:rsidRDefault="00BD56A3" w:rsidP="00B53719">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Descripción</w:t>
            </w:r>
          </w:p>
        </w:tc>
        <w:tc>
          <w:tcPr>
            <w:tcW w:w="1396" w:type="dxa"/>
            <w:gridSpan w:val="3"/>
            <w:tcBorders>
              <w:top w:val="nil"/>
              <w:left w:val="nil"/>
              <w:bottom w:val="single" w:sz="8" w:space="0" w:color="BFBFBF"/>
              <w:right w:val="single" w:sz="8" w:space="0" w:color="BFBFBF"/>
            </w:tcBorders>
            <w:shd w:val="clear" w:color="000000" w:fill="9A0003"/>
            <w:vAlign w:val="center"/>
            <w:hideMark/>
          </w:tcPr>
          <w:p w:rsidR="00BD56A3" w:rsidRPr="00AA6476" w:rsidRDefault="00BD56A3" w:rsidP="00B53719">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2019</w:t>
            </w:r>
          </w:p>
        </w:tc>
        <w:tc>
          <w:tcPr>
            <w:tcW w:w="1391" w:type="dxa"/>
            <w:gridSpan w:val="3"/>
            <w:tcBorders>
              <w:top w:val="nil"/>
              <w:left w:val="nil"/>
              <w:bottom w:val="single" w:sz="8" w:space="0" w:color="BFBFBF"/>
              <w:right w:val="single" w:sz="8" w:space="0" w:color="BFBFBF"/>
            </w:tcBorders>
            <w:shd w:val="clear" w:color="000000" w:fill="9A0003"/>
            <w:vAlign w:val="center"/>
            <w:hideMark/>
          </w:tcPr>
          <w:p w:rsidR="00BD56A3" w:rsidRPr="00AA6476" w:rsidRDefault="00BD56A3" w:rsidP="00B53719">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2020</w:t>
            </w:r>
          </w:p>
        </w:tc>
        <w:tc>
          <w:tcPr>
            <w:tcW w:w="1418" w:type="dxa"/>
            <w:gridSpan w:val="3"/>
            <w:tcBorders>
              <w:top w:val="nil"/>
              <w:left w:val="nil"/>
              <w:bottom w:val="single" w:sz="8" w:space="0" w:color="BFBFBF"/>
              <w:right w:val="single" w:sz="8" w:space="0" w:color="BFBFBF"/>
            </w:tcBorders>
            <w:shd w:val="clear" w:color="000000" w:fill="9A0003"/>
            <w:vAlign w:val="center"/>
            <w:hideMark/>
          </w:tcPr>
          <w:p w:rsidR="00BD56A3" w:rsidRPr="00AA6476" w:rsidRDefault="00BD56A3" w:rsidP="00B53719">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2021</w:t>
            </w:r>
          </w:p>
        </w:tc>
        <w:tc>
          <w:tcPr>
            <w:tcW w:w="1543" w:type="dxa"/>
            <w:gridSpan w:val="3"/>
            <w:tcBorders>
              <w:top w:val="nil"/>
              <w:left w:val="nil"/>
              <w:bottom w:val="single" w:sz="8" w:space="0" w:color="BFBFBF"/>
              <w:right w:val="single" w:sz="8" w:space="0" w:color="BFBFBF"/>
            </w:tcBorders>
            <w:shd w:val="clear" w:color="000000" w:fill="9A0003"/>
            <w:vAlign w:val="center"/>
            <w:hideMark/>
          </w:tcPr>
          <w:p w:rsidR="00BD56A3" w:rsidRPr="00AA6476" w:rsidRDefault="00BD56A3" w:rsidP="00B53719">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2022</w:t>
            </w:r>
          </w:p>
        </w:tc>
        <w:tc>
          <w:tcPr>
            <w:tcW w:w="1544" w:type="dxa"/>
            <w:gridSpan w:val="3"/>
            <w:tcBorders>
              <w:top w:val="nil"/>
              <w:left w:val="nil"/>
              <w:bottom w:val="single" w:sz="8" w:space="0" w:color="BFBFBF"/>
              <w:right w:val="single" w:sz="8" w:space="0" w:color="BFBFBF"/>
            </w:tcBorders>
            <w:shd w:val="clear" w:color="000000" w:fill="9A0003"/>
            <w:vAlign w:val="center"/>
            <w:hideMark/>
          </w:tcPr>
          <w:p w:rsidR="00BD56A3" w:rsidRPr="00AA6476" w:rsidRDefault="00BD56A3" w:rsidP="00B53719">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2023</w:t>
            </w:r>
          </w:p>
        </w:tc>
      </w:tr>
      <w:tr w:rsidR="00BD56A3" w:rsidRPr="00AA6476" w:rsidTr="00B53719">
        <w:trPr>
          <w:gridAfter w:val="1"/>
          <w:wAfter w:w="35" w:type="dxa"/>
          <w:trHeight w:val="300"/>
          <w:tblHeader/>
        </w:trPr>
        <w:tc>
          <w:tcPr>
            <w:tcW w:w="2411" w:type="dxa"/>
            <w:vMerge/>
            <w:tcBorders>
              <w:top w:val="single" w:sz="8" w:space="0" w:color="BFBFBF"/>
              <w:left w:val="single" w:sz="8" w:space="0" w:color="BFBFBF"/>
              <w:bottom w:val="single" w:sz="8" w:space="0" w:color="BFBFBF"/>
              <w:right w:val="single" w:sz="8" w:space="0" w:color="BFBFBF"/>
            </w:tcBorders>
            <w:vAlign w:val="center"/>
            <w:hideMark/>
          </w:tcPr>
          <w:p w:rsidR="00BD56A3" w:rsidRPr="00AA6476" w:rsidRDefault="00BD56A3" w:rsidP="00B53719">
            <w:pPr>
              <w:ind w:hanging="2"/>
              <w:rPr>
                <w:rFonts w:ascii="Noto Sans" w:eastAsia="Times New Roman" w:hAnsi="Noto Sans" w:cs="Noto Sans"/>
                <w:b/>
                <w:bCs/>
                <w:color w:val="FFFFFF"/>
                <w:sz w:val="16"/>
                <w:szCs w:val="16"/>
              </w:rPr>
            </w:pPr>
          </w:p>
        </w:tc>
        <w:tc>
          <w:tcPr>
            <w:tcW w:w="822" w:type="dxa"/>
            <w:tcBorders>
              <w:top w:val="nil"/>
              <w:left w:val="nil"/>
              <w:bottom w:val="single" w:sz="8" w:space="0" w:color="BFBFBF"/>
              <w:right w:val="single" w:sz="8" w:space="0" w:color="BFBFBF"/>
            </w:tcBorders>
            <w:shd w:val="clear" w:color="000000" w:fill="9A0003"/>
            <w:vAlign w:val="center"/>
            <w:hideMark/>
          </w:tcPr>
          <w:p w:rsidR="00BD56A3" w:rsidRPr="00AA6476" w:rsidRDefault="00BD56A3" w:rsidP="00B53719">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n</w:t>
            </w:r>
          </w:p>
        </w:tc>
        <w:tc>
          <w:tcPr>
            <w:tcW w:w="567" w:type="dxa"/>
            <w:tcBorders>
              <w:top w:val="nil"/>
              <w:left w:val="nil"/>
              <w:bottom w:val="single" w:sz="8" w:space="0" w:color="BFBFBF"/>
              <w:right w:val="single" w:sz="8" w:space="0" w:color="BFBFBF"/>
            </w:tcBorders>
            <w:shd w:val="clear" w:color="000000" w:fill="9A0003"/>
            <w:vAlign w:val="center"/>
            <w:hideMark/>
          </w:tcPr>
          <w:p w:rsidR="00BD56A3" w:rsidRPr="00AA6476" w:rsidRDefault="00BD56A3" w:rsidP="00B53719">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w:t>
            </w:r>
          </w:p>
        </w:tc>
        <w:tc>
          <w:tcPr>
            <w:tcW w:w="822" w:type="dxa"/>
            <w:gridSpan w:val="2"/>
            <w:tcBorders>
              <w:top w:val="nil"/>
              <w:left w:val="nil"/>
              <w:bottom w:val="single" w:sz="8" w:space="0" w:color="BFBFBF"/>
              <w:right w:val="single" w:sz="8" w:space="0" w:color="BFBFBF"/>
            </w:tcBorders>
            <w:shd w:val="clear" w:color="000000" w:fill="9A0003"/>
            <w:vAlign w:val="center"/>
            <w:hideMark/>
          </w:tcPr>
          <w:p w:rsidR="00BD56A3" w:rsidRPr="00AA6476" w:rsidRDefault="00B53719" w:rsidP="00B53719">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N</w:t>
            </w:r>
          </w:p>
        </w:tc>
        <w:tc>
          <w:tcPr>
            <w:tcW w:w="567" w:type="dxa"/>
            <w:tcBorders>
              <w:top w:val="nil"/>
              <w:left w:val="nil"/>
              <w:bottom w:val="single" w:sz="8" w:space="0" w:color="BFBFBF"/>
              <w:right w:val="single" w:sz="8" w:space="0" w:color="BFBFBF"/>
            </w:tcBorders>
            <w:shd w:val="clear" w:color="000000" w:fill="9A0003"/>
            <w:vAlign w:val="center"/>
            <w:hideMark/>
          </w:tcPr>
          <w:p w:rsidR="00BD56A3" w:rsidRPr="00AA6476" w:rsidRDefault="00BD56A3" w:rsidP="00B53719">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w:t>
            </w:r>
          </w:p>
        </w:tc>
        <w:tc>
          <w:tcPr>
            <w:tcW w:w="851" w:type="dxa"/>
            <w:gridSpan w:val="2"/>
            <w:tcBorders>
              <w:top w:val="nil"/>
              <w:left w:val="nil"/>
              <w:bottom w:val="single" w:sz="8" w:space="0" w:color="BFBFBF"/>
              <w:right w:val="single" w:sz="8" w:space="0" w:color="BFBFBF"/>
            </w:tcBorders>
            <w:shd w:val="clear" w:color="000000" w:fill="9A0003"/>
            <w:vAlign w:val="center"/>
            <w:hideMark/>
          </w:tcPr>
          <w:p w:rsidR="00BD56A3" w:rsidRPr="00AA6476" w:rsidRDefault="00BD56A3" w:rsidP="00B53719">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N</w:t>
            </w:r>
          </w:p>
        </w:tc>
        <w:tc>
          <w:tcPr>
            <w:tcW w:w="567" w:type="dxa"/>
            <w:tcBorders>
              <w:top w:val="nil"/>
              <w:left w:val="nil"/>
              <w:bottom w:val="single" w:sz="8" w:space="0" w:color="BFBFBF"/>
              <w:right w:val="single" w:sz="8" w:space="0" w:color="BFBFBF"/>
            </w:tcBorders>
            <w:shd w:val="clear" w:color="000000" w:fill="9A0003"/>
            <w:vAlign w:val="center"/>
            <w:hideMark/>
          </w:tcPr>
          <w:p w:rsidR="00BD56A3" w:rsidRPr="00AA6476" w:rsidRDefault="00BD56A3" w:rsidP="00B53719">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w:t>
            </w:r>
          </w:p>
        </w:tc>
        <w:tc>
          <w:tcPr>
            <w:tcW w:w="822" w:type="dxa"/>
            <w:gridSpan w:val="2"/>
            <w:tcBorders>
              <w:top w:val="nil"/>
              <w:left w:val="nil"/>
              <w:bottom w:val="single" w:sz="8" w:space="0" w:color="BFBFBF"/>
              <w:right w:val="single" w:sz="8" w:space="0" w:color="BFBFBF"/>
            </w:tcBorders>
            <w:shd w:val="clear" w:color="000000" w:fill="9A0003"/>
            <w:vAlign w:val="center"/>
            <w:hideMark/>
          </w:tcPr>
          <w:p w:rsidR="00BD56A3" w:rsidRPr="00AA6476" w:rsidRDefault="00BD56A3" w:rsidP="00B53719">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n</w:t>
            </w:r>
          </w:p>
        </w:tc>
        <w:tc>
          <w:tcPr>
            <w:tcW w:w="708" w:type="dxa"/>
            <w:tcBorders>
              <w:top w:val="nil"/>
              <w:left w:val="nil"/>
              <w:bottom w:val="single" w:sz="8" w:space="0" w:color="BFBFBF"/>
              <w:right w:val="single" w:sz="8" w:space="0" w:color="BFBFBF"/>
            </w:tcBorders>
            <w:shd w:val="clear" w:color="000000" w:fill="9A0003"/>
            <w:vAlign w:val="center"/>
            <w:hideMark/>
          </w:tcPr>
          <w:p w:rsidR="00BD56A3" w:rsidRPr="00AA6476" w:rsidRDefault="00BD56A3" w:rsidP="00B53719">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w:t>
            </w:r>
          </w:p>
        </w:tc>
        <w:tc>
          <w:tcPr>
            <w:tcW w:w="822" w:type="dxa"/>
            <w:gridSpan w:val="2"/>
            <w:tcBorders>
              <w:top w:val="nil"/>
              <w:left w:val="nil"/>
              <w:bottom w:val="single" w:sz="8" w:space="0" w:color="BFBFBF"/>
              <w:right w:val="single" w:sz="8" w:space="0" w:color="BFBFBF"/>
            </w:tcBorders>
            <w:shd w:val="clear" w:color="000000" w:fill="9A0003"/>
            <w:vAlign w:val="center"/>
            <w:hideMark/>
          </w:tcPr>
          <w:p w:rsidR="00BD56A3" w:rsidRPr="00AA6476" w:rsidRDefault="00BD56A3" w:rsidP="00B53719">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n</w:t>
            </w:r>
          </w:p>
        </w:tc>
        <w:tc>
          <w:tcPr>
            <w:tcW w:w="709" w:type="dxa"/>
            <w:tcBorders>
              <w:top w:val="nil"/>
              <w:left w:val="nil"/>
              <w:bottom w:val="single" w:sz="8" w:space="0" w:color="BFBFBF"/>
              <w:right w:val="single" w:sz="8" w:space="0" w:color="BFBFBF"/>
            </w:tcBorders>
            <w:shd w:val="clear" w:color="000000" w:fill="9A0003"/>
            <w:vAlign w:val="center"/>
            <w:hideMark/>
          </w:tcPr>
          <w:p w:rsidR="00BD56A3" w:rsidRPr="00AA6476" w:rsidRDefault="00BD56A3" w:rsidP="00B53719">
            <w:pPr>
              <w:ind w:hanging="2"/>
              <w:jc w:val="center"/>
              <w:rPr>
                <w:rFonts w:ascii="Noto Sans" w:eastAsia="Times New Roman" w:hAnsi="Noto Sans" w:cs="Noto Sans"/>
                <w:b/>
                <w:bCs/>
                <w:color w:val="FFFFFF"/>
                <w:sz w:val="16"/>
                <w:szCs w:val="16"/>
              </w:rPr>
            </w:pPr>
            <w:r w:rsidRPr="00AA6476">
              <w:rPr>
                <w:rFonts w:ascii="Noto Sans" w:eastAsia="Times New Roman" w:hAnsi="Noto Sans" w:cs="Noto Sans"/>
                <w:b/>
                <w:bCs/>
                <w:color w:val="FFFFFF"/>
                <w:sz w:val="16"/>
                <w:szCs w:val="16"/>
              </w:rPr>
              <w:t>%</w:t>
            </w:r>
          </w:p>
        </w:tc>
      </w:tr>
      <w:tr w:rsidR="00BD56A3" w:rsidRPr="00AA6476" w:rsidTr="00B53719">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Egresos en Pp E031</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202,905</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131,211</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145,867</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166,103</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189,922</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 </w:t>
            </w:r>
          </w:p>
        </w:tc>
      </w:tr>
      <w:tr w:rsidR="00BD56A3" w:rsidRPr="00AA6476" w:rsidTr="00B53719">
        <w:trPr>
          <w:trHeight w:val="300"/>
        </w:trPr>
        <w:tc>
          <w:tcPr>
            <w:tcW w:w="9703" w:type="dxa"/>
            <w:gridSpan w:val="16"/>
            <w:tcBorders>
              <w:top w:val="single" w:sz="8" w:space="0" w:color="BFBFBF"/>
              <w:left w:val="single" w:sz="8" w:space="0" w:color="BFBFBF"/>
              <w:bottom w:val="single" w:sz="8" w:space="0" w:color="BFBFBF"/>
              <w:right w:val="single" w:sz="8" w:space="0" w:color="BFBFBF"/>
            </w:tcBorders>
            <w:shd w:val="clear" w:color="000000" w:fill="E8E8E8"/>
            <w:vAlign w:val="center"/>
            <w:hideMark/>
          </w:tcPr>
          <w:p w:rsidR="00BD56A3" w:rsidRPr="00AA6476" w:rsidRDefault="00BD56A3" w:rsidP="00B53719">
            <w:pPr>
              <w:ind w:hanging="2"/>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Por grupo de edad</w:t>
            </w:r>
          </w:p>
        </w:tc>
      </w:tr>
      <w:tr w:rsidR="00BD56A3" w:rsidRPr="00AA6476" w:rsidTr="00B53719">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0-5</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22,274</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10.98</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12,585</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9.59</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15,975</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10.95</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22,385</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13.48</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19,519</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10.28</w:t>
            </w:r>
          </w:p>
        </w:tc>
      </w:tr>
      <w:tr w:rsidR="00BD56A3" w:rsidRPr="00AA6476" w:rsidTr="00B53719">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6-12</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7,550</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3.72</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4,857</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3.70</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5,943</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4.07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7,800</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4.70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7,898</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4.16</w:t>
            </w:r>
          </w:p>
        </w:tc>
      </w:tr>
      <w:tr w:rsidR="00BD56A3" w:rsidRPr="00AA6476" w:rsidTr="00B53719">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13-17</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9,286</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4.58</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6,479</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4.94</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6,381</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4.37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7,517</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4.53</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7,943</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4.18</w:t>
            </w:r>
          </w:p>
        </w:tc>
      </w:tr>
      <w:tr w:rsidR="00BD56A3" w:rsidRPr="00AA6476" w:rsidTr="00B53719">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18-29</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45,812</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22.58</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26,868</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20.48</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27,403</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18.79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26,298</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15.83</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36,612</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19.28</w:t>
            </w:r>
          </w:p>
        </w:tc>
      </w:tr>
      <w:tr w:rsidR="00BD56A3" w:rsidRPr="00AA6476" w:rsidTr="00B53719">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30-64</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94,302</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46.48</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66,142</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50.41</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75,685</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51.89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83,382</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50.20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95,884</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50.49</w:t>
            </w:r>
          </w:p>
        </w:tc>
      </w:tr>
      <w:tr w:rsidR="00BD56A3" w:rsidRPr="00AA6476" w:rsidTr="00B53719">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&gt; 65</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23,681</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11.67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14,280</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10.88</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14,480</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9.93</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18,721</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11.27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22,066</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11.62</w:t>
            </w:r>
          </w:p>
        </w:tc>
      </w:tr>
      <w:tr w:rsidR="00BD56A3" w:rsidRPr="00AA6476" w:rsidTr="00B53719">
        <w:trPr>
          <w:trHeight w:val="300"/>
        </w:trPr>
        <w:tc>
          <w:tcPr>
            <w:tcW w:w="9703" w:type="dxa"/>
            <w:gridSpan w:val="16"/>
            <w:tcBorders>
              <w:top w:val="single" w:sz="8" w:space="0" w:color="BFBFBF"/>
              <w:left w:val="single" w:sz="8" w:space="0" w:color="BFBFBF"/>
              <w:bottom w:val="single" w:sz="8" w:space="0" w:color="BFBFBF"/>
              <w:right w:val="single" w:sz="8" w:space="0" w:color="BFBFBF"/>
            </w:tcBorders>
            <w:shd w:val="clear" w:color="000000" w:fill="E8E8E8"/>
            <w:vAlign w:val="center"/>
            <w:hideMark/>
          </w:tcPr>
          <w:p w:rsidR="00BD56A3" w:rsidRPr="00AA6476" w:rsidRDefault="00BD56A3" w:rsidP="00B53719">
            <w:pPr>
              <w:ind w:hanging="2"/>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lastRenderedPageBreak/>
              <w:t>Por I.N.Salud</w:t>
            </w:r>
          </w:p>
        </w:tc>
      </w:tr>
      <w:tr w:rsidR="00BD56A3" w:rsidRPr="00AA6476" w:rsidTr="00B53719">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Cancerología (DFSSA004043)</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7,162</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3.53</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6,715</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5.12</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6,569</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7,545</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4.54</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7,395</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3.89</w:t>
            </w:r>
          </w:p>
        </w:tc>
      </w:tr>
      <w:tr w:rsidR="00BD56A3" w:rsidRPr="00AA6476" w:rsidTr="00B53719">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Perinatología (DFSSA004096)</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8,235</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4.06</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6,110</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4.66</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5,009</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3.43</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5,852</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3.52</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6,376</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3.36</w:t>
            </w:r>
          </w:p>
        </w:tc>
      </w:tr>
      <w:tr w:rsidR="00BD56A3" w:rsidRPr="00AA6476" w:rsidTr="00B53719">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Hospital Infantil de México Federico Gómez (DFSSA004084)</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7,471</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3.68</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4,681</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3.57</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5,523</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3.79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6,051</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3.64</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6,627</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3.49</w:t>
            </w:r>
          </w:p>
        </w:tc>
      </w:tr>
      <w:tr w:rsidR="00BD56A3" w:rsidRPr="00AA6476" w:rsidTr="00B53719">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Pediatría (DFSSA004014)</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5,760</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2.84</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5,057</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3.85</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5,852</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4.01</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6,258</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3.77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6,616</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3.48</w:t>
            </w:r>
          </w:p>
        </w:tc>
      </w:tr>
      <w:tr w:rsidR="00BD56A3" w:rsidRPr="00AA6476" w:rsidTr="00B53719">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Ciencias Médicas y Nutrición (DFSSA004055)</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5,119</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2.52</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5,305</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4.04</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5,856</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4.01</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5,159</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3.11</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5,208</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2.74</w:t>
            </w:r>
          </w:p>
        </w:tc>
      </w:tr>
      <w:tr w:rsidR="00BD56A3" w:rsidRPr="00AA6476" w:rsidTr="00B53719">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Rehabilitación (DFSSA003956)</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5,620</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2.77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3,756</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2.86</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4,357</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2.99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6,036</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3.63</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6,671</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3.51</w:t>
            </w:r>
          </w:p>
        </w:tc>
      </w:tr>
      <w:tr w:rsidR="00BD56A3" w:rsidRPr="00AA6476" w:rsidTr="00B53719">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Cardiología (DFSSA004031)</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5,819</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2.87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3,671</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2.80</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4,358</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2.99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5,287</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3.18</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5,870</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3.09</w:t>
            </w:r>
          </w:p>
        </w:tc>
      </w:tr>
      <w:tr w:rsidR="00BD56A3" w:rsidRPr="00AA6476" w:rsidTr="00B53719">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Enfermedades Respiratorias (DFSSA004026)</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4,338</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2.14</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2,618</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2.00</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2,699</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1.85</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3,938</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2.37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4,335</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2.28</w:t>
            </w:r>
          </w:p>
        </w:tc>
      </w:tr>
      <w:tr w:rsidR="00BD56A3" w:rsidRPr="00AA6476" w:rsidTr="00B53719">
        <w:trPr>
          <w:gridAfter w:val="1"/>
          <w:wAfter w:w="35" w:type="dxa"/>
          <w:trHeight w:val="804"/>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Neurología y Neurocirugía Manuel Velasco Suárez(DFSSA004060)</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2,759</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1.36</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1,584</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1.21</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2,199</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1.51</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2,506</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1.51</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2,467</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1.30</w:t>
            </w:r>
          </w:p>
        </w:tc>
      </w:tr>
      <w:tr w:rsidR="00BD56A3" w:rsidRPr="00AA6476" w:rsidTr="00B53719">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Psiquiatría Ramón de la Fuente Muñiz (DFSSA004072)</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638</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0.31</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529</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0.40</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541</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0.37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481</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0.29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515</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0.27</w:t>
            </w:r>
          </w:p>
        </w:tc>
      </w:tr>
      <w:tr w:rsidR="00BD56A3" w:rsidRPr="00AA6476" w:rsidTr="00B53719">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Instituto Nacional de Geriatría (DFSSA004644)</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r>
      <w:tr w:rsidR="00BD56A3" w:rsidRPr="00AA6476" w:rsidTr="00B53719">
        <w:trPr>
          <w:trHeight w:val="311"/>
        </w:trPr>
        <w:tc>
          <w:tcPr>
            <w:tcW w:w="9703" w:type="dxa"/>
            <w:gridSpan w:val="16"/>
            <w:tcBorders>
              <w:top w:val="single" w:sz="8" w:space="0" w:color="BFBFBF"/>
              <w:left w:val="single" w:sz="8" w:space="0" w:color="BFBFBF"/>
              <w:bottom w:val="single" w:sz="8" w:space="0" w:color="BFBFBF"/>
              <w:right w:val="single" w:sz="8" w:space="0" w:color="BFBFBF"/>
            </w:tcBorders>
            <w:shd w:val="clear" w:color="000000" w:fill="E8E8E8"/>
            <w:vAlign w:val="center"/>
            <w:hideMark/>
          </w:tcPr>
          <w:p w:rsidR="00BD56A3" w:rsidRPr="00AA6476" w:rsidRDefault="00BD56A3" w:rsidP="00B53719">
            <w:pPr>
              <w:ind w:hanging="2"/>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Por HFR</w:t>
            </w:r>
          </w:p>
        </w:tc>
      </w:tr>
      <w:tr w:rsidR="00BD56A3" w:rsidRPr="00AA6476" w:rsidTr="00B53719">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Hospital General de México “Dr. Eduardo Liceaga” (DFSSA003973)</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42,404</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20.90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22,080</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16.83</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24,054</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16.49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33,848</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20.38</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37,503</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19.75</w:t>
            </w:r>
          </w:p>
        </w:tc>
      </w:tr>
      <w:tr w:rsidR="00BD56A3" w:rsidRPr="00AA6476" w:rsidTr="00B53719">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Hospital Juárez de México (DFSSA003944)</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18,879</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9.30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8,735</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6.66</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9,315</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6.39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13,875</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8.35</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16,051</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8.45</w:t>
            </w:r>
          </w:p>
        </w:tc>
      </w:tr>
      <w:tr w:rsidR="00BD56A3" w:rsidRPr="00AA6476" w:rsidTr="00B53719">
        <w:trPr>
          <w:gridAfter w:val="1"/>
          <w:wAfter w:w="35" w:type="dxa"/>
          <w:trHeight w:val="54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Hospital General “Dr. Manuel Gea González (DFSSA003961)</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10,738</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5.29</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6,407</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4.88</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7,293</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5.00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9,632</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5.80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12,285</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6.47</w:t>
            </w:r>
          </w:p>
        </w:tc>
      </w:tr>
      <w:tr w:rsidR="00BD56A3" w:rsidRPr="00AA6476" w:rsidTr="00B53719">
        <w:trPr>
          <w:trHeight w:val="251"/>
        </w:trPr>
        <w:tc>
          <w:tcPr>
            <w:tcW w:w="9703" w:type="dxa"/>
            <w:gridSpan w:val="16"/>
            <w:tcBorders>
              <w:top w:val="single" w:sz="8" w:space="0" w:color="BFBFBF"/>
              <w:left w:val="single" w:sz="8" w:space="0" w:color="BFBFBF"/>
              <w:bottom w:val="single" w:sz="8" w:space="0" w:color="BFBFBF"/>
              <w:right w:val="single" w:sz="8" w:space="0" w:color="BFBFBF"/>
            </w:tcBorders>
            <w:shd w:val="clear" w:color="000000" w:fill="E8E8E8"/>
            <w:vAlign w:val="center"/>
            <w:hideMark/>
          </w:tcPr>
          <w:p w:rsidR="00BD56A3" w:rsidRPr="00AA6476" w:rsidRDefault="00BD56A3" w:rsidP="00B53719">
            <w:pPr>
              <w:ind w:hanging="2"/>
              <w:rPr>
                <w:rFonts w:ascii="Noto Sans" w:eastAsia="Times New Roman" w:hAnsi="Noto Sans" w:cs="Noto Sans"/>
                <w:b/>
                <w:bCs/>
                <w:color w:val="000000"/>
                <w:sz w:val="16"/>
                <w:szCs w:val="16"/>
              </w:rPr>
            </w:pPr>
            <w:r w:rsidRPr="00AA6476">
              <w:rPr>
                <w:rFonts w:ascii="Noto Sans" w:eastAsia="Times New Roman" w:hAnsi="Noto Sans" w:cs="Noto Sans"/>
                <w:b/>
                <w:bCs/>
                <w:color w:val="000000"/>
                <w:sz w:val="16"/>
                <w:szCs w:val="16"/>
              </w:rPr>
              <w:t>Por la SS</w:t>
            </w:r>
          </w:p>
        </w:tc>
      </w:tr>
      <w:tr w:rsidR="00BD56A3" w:rsidRPr="00AA6476" w:rsidTr="00B53719">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Hospital de la Mujer (DFSSA004002)</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70,253</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34.62</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49,614</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37.81</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58,202</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39.90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54,716</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32.94</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65,655</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34.57</w:t>
            </w:r>
          </w:p>
        </w:tc>
      </w:tr>
      <w:tr w:rsidR="00BD56A3" w:rsidRPr="00AA6476" w:rsidTr="00B53719">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CONASAMA (DFSSA004492)</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4,524</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2.23</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2,520</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1.92</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1,985</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1.36</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3,251</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1.96</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4,046</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2.13</w:t>
            </w:r>
          </w:p>
        </w:tc>
      </w:tr>
      <w:tr w:rsidR="00BD56A3" w:rsidRPr="00AA6476" w:rsidTr="00B53719">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Hospital Nacional Homeopático (DFSSA003990)</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3,186</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1.57</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1,829</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1.39</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2,055</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1.41</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1,668</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1.00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2,302</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1.21</w:t>
            </w:r>
          </w:p>
        </w:tc>
      </w:tr>
      <w:tr w:rsidR="00BD56A3" w:rsidRPr="00AA6476" w:rsidTr="00B53719">
        <w:trPr>
          <w:gridAfter w:val="1"/>
          <w:wAfter w:w="35" w:type="dxa"/>
          <w:trHeight w:val="300"/>
        </w:trPr>
        <w:tc>
          <w:tcPr>
            <w:tcW w:w="2411" w:type="dxa"/>
            <w:tcBorders>
              <w:top w:val="nil"/>
              <w:left w:val="single" w:sz="8" w:space="0" w:color="BFBFBF"/>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Unidad Médico Quirúrgica Juárez centro (DFSSA003985)</w:t>
            </w:r>
          </w:p>
        </w:tc>
        <w:tc>
          <w:tcPr>
            <w:tcW w:w="822"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c>
          <w:tcPr>
            <w:tcW w:w="851"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567"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708"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c>
          <w:tcPr>
            <w:tcW w:w="822" w:type="dxa"/>
            <w:gridSpan w:val="2"/>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w:t>
            </w:r>
          </w:p>
        </w:tc>
        <w:tc>
          <w:tcPr>
            <w:tcW w:w="709" w:type="dxa"/>
            <w:tcBorders>
              <w:top w:val="nil"/>
              <w:left w:val="nil"/>
              <w:bottom w:val="single" w:sz="8" w:space="0" w:color="BFBFBF"/>
              <w:right w:val="single" w:sz="8" w:space="0" w:color="BFBFBF"/>
            </w:tcBorders>
            <w:shd w:val="clear" w:color="auto" w:fill="auto"/>
            <w:vAlign w:val="center"/>
            <w:hideMark/>
          </w:tcPr>
          <w:p w:rsidR="00BD56A3" w:rsidRPr="00AA6476" w:rsidRDefault="00BD56A3" w:rsidP="00B53719">
            <w:pPr>
              <w:ind w:hanging="2"/>
              <w:jc w:val="right"/>
              <w:rPr>
                <w:rFonts w:ascii="Noto Sans" w:eastAsia="Times New Roman" w:hAnsi="Noto Sans" w:cs="Noto Sans"/>
                <w:color w:val="000000"/>
                <w:sz w:val="16"/>
                <w:szCs w:val="16"/>
              </w:rPr>
            </w:pPr>
            <w:r w:rsidRPr="00AA6476">
              <w:rPr>
                <w:rFonts w:ascii="Noto Sans" w:eastAsia="Times New Roman" w:hAnsi="Noto Sans" w:cs="Noto Sans"/>
                <w:color w:val="000000"/>
                <w:sz w:val="16"/>
                <w:szCs w:val="16"/>
              </w:rPr>
              <w:t>0.00</w:t>
            </w:r>
          </w:p>
        </w:tc>
      </w:tr>
    </w:tbl>
    <w:p w:rsidR="00BD56A3" w:rsidRPr="007715DC" w:rsidRDefault="00BD56A3" w:rsidP="00BD56A3">
      <w:pPr>
        <w:spacing w:line="276" w:lineRule="auto"/>
        <w:ind w:hanging="2"/>
        <w:rPr>
          <w:rFonts w:ascii="Noto Sans" w:eastAsia="Times" w:hAnsi="Noto Sans" w:cs="Noto Sans"/>
          <w:i/>
          <w:color w:val="000000"/>
          <w:sz w:val="16"/>
          <w:szCs w:val="20"/>
        </w:rPr>
      </w:pPr>
      <w:r w:rsidRPr="007715DC">
        <w:rPr>
          <w:rFonts w:ascii="Noto Sans" w:eastAsia="Times" w:hAnsi="Noto Sans" w:cs="Noto Sans"/>
          <w:i/>
          <w:color w:val="000000"/>
          <w:sz w:val="16"/>
          <w:szCs w:val="20"/>
        </w:rPr>
        <w:t>Las unidades consideran los egresos hospitalarios y de urgencias correspondiente al año en que se dan de alta y no al ingreso.</w:t>
      </w:r>
    </w:p>
    <w:p w:rsidR="00BD56A3" w:rsidRPr="007715DC" w:rsidRDefault="00BD56A3" w:rsidP="00BD56A3">
      <w:pPr>
        <w:spacing w:line="276" w:lineRule="auto"/>
        <w:ind w:hanging="2"/>
        <w:rPr>
          <w:rFonts w:ascii="Noto Sans" w:eastAsia="Times" w:hAnsi="Noto Sans" w:cs="Noto Sans"/>
          <w:i/>
          <w:color w:val="000000"/>
          <w:sz w:val="16"/>
          <w:szCs w:val="20"/>
        </w:rPr>
      </w:pPr>
      <w:r w:rsidRPr="007715DC">
        <w:rPr>
          <w:rFonts w:ascii="Noto Sans" w:eastAsia="Times" w:hAnsi="Noto Sans" w:cs="Noto Sans"/>
          <w:i/>
          <w:color w:val="000000"/>
          <w:sz w:val="16"/>
          <w:szCs w:val="20"/>
        </w:rPr>
        <w:lastRenderedPageBreak/>
        <w:t>El Hospital Juárez del Centro no cuenta con camas censables ni áreas de hospitalización, por lo que no cuenta con egresos hospitalarios.</w:t>
      </w:r>
    </w:p>
    <w:p w:rsidR="00BD56A3" w:rsidRPr="007715DC" w:rsidRDefault="00BD56A3" w:rsidP="00BD56A3">
      <w:pPr>
        <w:spacing w:line="276" w:lineRule="auto"/>
        <w:ind w:hanging="2"/>
        <w:rPr>
          <w:rFonts w:ascii="Noto Sans" w:eastAsia="Times" w:hAnsi="Noto Sans" w:cs="Noto Sans"/>
          <w:i/>
          <w:color w:val="000000"/>
          <w:sz w:val="16"/>
          <w:szCs w:val="20"/>
        </w:rPr>
      </w:pPr>
      <w:r w:rsidRPr="007715DC">
        <w:rPr>
          <w:rFonts w:ascii="Noto Sans" w:eastAsia="Times" w:hAnsi="Noto Sans" w:cs="Noto Sans"/>
          <w:i/>
          <w:color w:val="000000"/>
          <w:sz w:val="16"/>
          <w:szCs w:val="20"/>
        </w:rPr>
        <w:t>El Instituto Nacional de Geriatría, no otorgó atención hospitalaria durante el periodo señalado.</w:t>
      </w:r>
    </w:p>
    <w:p w:rsidR="00BD56A3" w:rsidRPr="007715DC" w:rsidRDefault="00BD56A3" w:rsidP="00BD56A3">
      <w:pPr>
        <w:spacing w:line="276" w:lineRule="auto"/>
        <w:ind w:hanging="2"/>
        <w:rPr>
          <w:rFonts w:ascii="Noto Sans" w:eastAsia="Times" w:hAnsi="Noto Sans" w:cs="Noto Sans"/>
          <w:i/>
          <w:color w:val="000000"/>
          <w:sz w:val="16"/>
          <w:szCs w:val="20"/>
        </w:rPr>
      </w:pPr>
      <w:r w:rsidRPr="007715DC">
        <w:rPr>
          <w:rFonts w:ascii="Noto Sans" w:eastAsia="Times" w:hAnsi="Noto Sans" w:cs="Noto Sans"/>
          <w:i/>
          <w:color w:val="000000"/>
          <w:sz w:val="16"/>
          <w:szCs w:val="20"/>
        </w:rPr>
        <w:t>Fuente: Elaboración propia con Bases de egresos hospitalarios</w:t>
      </w:r>
    </w:p>
    <w:p w:rsidR="00BD56A3" w:rsidRDefault="00BD56A3" w:rsidP="00CE30CE">
      <w:pPr>
        <w:jc w:val="both"/>
        <w:rPr>
          <w:rFonts w:ascii="Noto Sans" w:hAnsi="Noto Sans" w:cs="Noto Sans"/>
          <w:sz w:val="20"/>
          <w:szCs w:val="20"/>
        </w:rPr>
      </w:pPr>
    </w:p>
    <w:p w:rsidR="00C80904" w:rsidRPr="00CE30CE" w:rsidRDefault="00C80904" w:rsidP="005E6276">
      <w:pPr>
        <w:pStyle w:val="Ttulo1"/>
        <w:numPr>
          <w:ilvl w:val="0"/>
          <w:numId w:val="1"/>
        </w:numPr>
        <w:spacing w:before="120" w:after="120" w:line="276" w:lineRule="auto"/>
        <w:rPr>
          <w:rFonts w:ascii="Noto Sans" w:hAnsi="Noto Sans" w:cs="Noto Sans"/>
          <w:b/>
          <w:color w:val="1E5B4F"/>
          <w:sz w:val="22"/>
          <w:szCs w:val="22"/>
        </w:rPr>
      </w:pPr>
      <w:bookmarkStart w:id="21" w:name="_Toc201830238"/>
      <w:r w:rsidRPr="00CE30CE">
        <w:rPr>
          <w:rFonts w:ascii="Noto Sans" w:hAnsi="Noto Sans" w:cs="Noto Sans"/>
          <w:b/>
          <w:color w:val="1E5B4F"/>
          <w:sz w:val="22"/>
          <w:szCs w:val="22"/>
        </w:rPr>
        <w:t>Análisis de similitudes, complementariedades y duplicidades</w:t>
      </w:r>
      <w:bookmarkEnd w:id="21"/>
    </w:p>
    <w:p w:rsidR="0020350D" w:rsidRPr="00CE30CE" w:rsidRDefault="00B013DD" w:rsidP="00A83310">
      <w:pPr>
        <w:spacing w:before="120" w:after="120" w:line="276" w:lineRule="auto"/>
        <w:jc w:val="both"/>
        <w:rPr>
          <w:rFonts w:ascii="Noto Sans" w:hAnsi="Noto Sans" w:cs="Noto Sans"/>
          <w:iCs/>
          <w:sz w:val="20"/>
          <w:szCs w:val="22"/>
        </w:rPr>
      </w:pPr>
      <w:r w:rsidRPr="00CE30CE">
        <w:rPr>
          <w:rFonts w:ascii="Noto Sans" w:hAnsi="Noto Sans" w:cs="Noto Sans"/>
          <w:iCs/>
          <w:sz w:val="20"/>
          <w:szCs w:val="22"/>
        </w:rPr>
        <w:t>Para este análisis se utilizó la Estructura Programática a emplear en el proyecto de presupuesto de Egresos 2025.</w:t>
      </w:r>
    </w:p>
    <w:tbl>
      <w:tblPr>
        <w:tblStyle w:val="Tablaconcuadrcula"/>
        <w:tblW w:w="11807" w:type="dxa"/>
        <w:jc w:val="center"/>
        <w:tblLayout w:type="fixed"/>
        <w:tblLook w:val="04A0" w:firstRow="1" w:lastRow="0" w:firstColumn="1" w:lastColumn="0" w:noHBand="0" w:noVBand="1"/>
      </w:tblPr>
      <w:tblGrid>
        <w:gridCol w:w="2081"/>
        <w:gridCol w:w="1170"/>
        <w:gridCol w:w="2414"/>
        <w:gridCol w:w="1560"/>
        <w:gridCol w:w="4582"/>
      </w:tblGrid>
      <w:tr w:rsidR="00C44463" w:rsidRPr="00CE30CE" w:rsidTr="008B53DB">
        <w:trPr>
          <w:trHeight w:val="127"/>
          <w:tblHeader/>
          <w:jc w:val="center"/>
        </w:trPr>
        <w:tc>
          <w:tcPr>
            <w:tcW w:w="2081" w:type="dxa"/>
            <w:shd w:val="clear" w:color="auto" w:fill="C00000"/>
            <w:vAlign w:val="center"/>
          </w:tcPr>
          <w:p w:rsidR="00C44463" w:rsidRPr="00CE30CE" w:rsidRDefault="00C44463" w:rsidP="00EE429C">
            <w:pPr>
              <w:spacing w:line="276" w:lineRule="auto"/>
              <w:jc w:val="both"/>
              <w:rPr>
                <w:rFonts w:ascii="Noto Sans" w:hAnsi="Noto Sans" w:cs="Noto Sans"/>
                <w:b/>
                <w:bCs/>
                <w:color w:val="FFFFFF" w:themeColor="background1"/>
                <w:sz w:val="16"/>
                <w:szCs w:val="16"/>
              </w:rPr>
            </w:pPr>
            <w:r w:rsidRPr="00CE30CE">
              <w:rPr>
                <w:rFonts w:ascii="Noto Sans" w:hAnsi="Noto Sans" w:cs="Noto Sans"/>
                <w:b/>
                <w:bCs/>
                <w:color w:val="FFFFFF" w:themeColor="background1"/>
                <w:sz w:val="16"/>
                <w:szCs w:val="16"/>
              </w:rPr>
              <w:t>Dependencia</w:t>
            </w:r>
          </w:p>
        </w:tc>
        <w:tc>
          <w:tcPr>
            <w:tcW w:w="1170" w:type="dxa"/>
            <w:shd w:val="clear" w:color="auto" w:fill="C00000"/>
            <w:vAlign w:val="center"/>
          </w:tcPr>
          <w:p w:rsidR="00C44463" w:rsidRPr="00CE30CE" w:rsidRDefault="00C44463" w:rsidP="00CE30CE">
            <w:pPr>
              <w:spacing w:line="276" w:lineRule="auto"/>
              <w:jc w:val="center"/>
              <w:rPr>
                <w:rFonts w:ascii="Noto Sans" w:hAnsi="Noto Sans" w:cs="Noto Sans"/>
                <w:b/>
                <w:bCs/>
                <w:color w:val="FFFFFF" w:themeColor="background1"/>
                <w:sz w:val="16"/>
                <w:szCs w:val="16"/>
              </w:rPr>
            </w:pPr>
            <w:r w:rsidRPr="00CE30CE">
              <w:rPr>
                <w:rFonts w:ascii="Noto Sans" w:hAnsi="Noto Sans" w:cs="Noto Sans"/>
                <w:b/>
                <w:bCs/>
                <w:color w:val="FFFFFF" w:themeColor="background1"/>
                <w:sz w:val="16"/>
                <w:szCs w:val="16"/>
              </w:rPr>
              <w:t>Modalidad</w:t>
            </w:r>
          </w:p>
        </w:tc>
        <w:tc>
          <w:tcPr>
            <w:tcW w:w="2414" w:type="dxa"/>
            <w:shd w:val="clear" w:color="auto" w:fill="C00000"/>
            <w:vAlign w:val="center"/>
          </w:tcPr>
          <w:p w:rsidR="00C44463" w:rsidRPr="00CE30CE" w:rsidRDefault="00C44463" w:rsidP="00EE429C">
            <w:pPr>
              <w:spacing w:line="276" w:lineRule="auto"/>
              <w:jc w:val="both"/>
              <w:rPr>
                <w:rFonts w:ascii="Noto Sans" w:hAnsi="Noto Sans" w:cs="Noto Sans"/>
                <w:b/>
                <w:bCs/>
                <w:color w:val="FFFFFF" w:themeColor="background1"/>
                <w:sz w:val="16"/>
                <w:szCs w:val="16"/>
              </w:rPr>
            </w:pPr>
            <w:r w:rsidRPr="00CE30CE">
              <w:rPr>
                <w:rFonts w:ascii="Noto Sans" w:hAnsi="Noto Sans" w:cs="Noto Sans"/>
                <w:b/>
                <w:bCs/>
                <w:color w:val="FFFFFF" w:themeColor="background1"/>
                <w:sz w:val="16"/>
                <w:szCs w:val="16"/>
              </w:rPr>
              <w:t>Programa</w:t>
            </w:r>
          </w:p>
        </w:tc>
        <w:tc>
          <w:tcPr>
            <w:tcW w:w="1560" w:type="dxa"/>
            <w:shd w:val="clear" w:color="auto" w:fill="C00000"/>
            <w:vAlign w:val="center"/>
          </w:tcPr>
          <w:p w:rsidR="00C44463" w:rsidRPr="00CE30CE" w:rsidRDefault="00C44463" w:rsidP="00CE30CE">
            <w:pPr>
              <w:spacing w:line="276" w:lineRule="auto"/>
              <w:jc w:val="center"/>
              <w:rPr>
                <w:rFonts w:ascii="Noto Sans" w:hAnsi="Noto Sans" w:cs="Noto Sans"/>
                <w:b/>
                <w:bCs/>
                <w:color w:val="FFFFFF" w:themeColor="background1"/>
                <w:sz w:val="16"/>
                <w:szCs w:val="16"/>
              </w:rPr>
            </w:pPr>
            <w:r w:rsidRPr="00CE30CE">
              <w:rPr>
                <w:rFonts w:ascii="Noto Sans" w:hAnsi="Noto Sans" w:cs="Noto Sans"/>
                <w:b/>
                <w:bCs/>
                <w:color w:val="FFFFFF" w:themeColor="background1"/>
                <w:sz w:val="16"/>
                <w:szCs w:val="16"/>
              </w:rPr>
              <w:t>Similitud o complementari</w:t>
            </w:r>
          </w:p>
        </w:tc>
        <w:tc>
          <w:tcPr>
            <w:tcW w:w="4582" w:type="dxa"/>
            <w:shd w:val="clear" w:color="auto" w:fill="C00000"/>
          </w:tcPr>
          <w:p w:rsidR="00C44463" w:rsidRPr="00CE30CE" w:rsidRDefault="00C44463" w:rsidP="00CE30CE">
            <w:pPr>
              <w:spacing w:line="276" w:lineRule="auto"/>
              <w:jc w:val="center"/>
              <w:rPr>
                <w:rFonts w:ascii="Noto Sans" w:hAnsi="Noto Sans" w:cs="Noto Sans"/>
                <w:b/>
                <w:bCs/>
                <w:color w:val="FFFFFF" w:themeColor="background1"/>
                <w:sz w:val="16"/>
                <w:szCs w:val="16"/>
              </w:rPr>
            </w:pPr>
            <w:r>
              <w:rPr>
                <w:rFonts w:ascii="Noto Sans" w:hAnsi="Noto Sans" w:cs="Noto Sans"/>
                <w:b/>
                <w:bCs/>
                <w:color w:val="FFFFFF" w:themeColor="background1"/>
                <w:sz w:val="16"/>
                <w:szCs w:val="16"/>
              </w:rPr>
              <w:t>Objetivos del programa</w:t>
            </w:r>
          </w:p>
        </w:tc>
      </w:tr>
      <w:tr w:rsidR="00C44463" w:rsidRPr="00CE30CE" w:rsidTr="008B53DB">
        <w:trPr>
          <w:trHeight w:val="250"/>
          <w:jc w:val="center"/>
        </w:trPr>
        <w:tc>
          <w:tcPr>
            <w:tcW w:w="2081" w:type="dxa"/>
            <w:vAlign w:val="center"/>
          </w:tcPr>
          <w:p w:rsidR="00C44463" w:rsidRPr="00CE30CE" w:rsidRDefault="00C44463" w:rsidP="00EE429C">
            <w:pPr>
              <w:spacing w:line="276" w:lineRule="auto"/>
              <w:jc w:val="both"/>
              <w:rPr>
                <w:rFonts w:ascii="Noto Sans" w:hAnsi="Noto Sans" w:cs="Noto Sans"/>
                <w:sz w:val="16"/>
                <w:szCs w:val="16"/>
              </w:rPr>
            </w:pPr>
            <w:r w:rsidRPr="00CE30CE">
              <w:rPr>
                <w:rFonts w:ascii="Noto Sans" w:hAnsi="Noto Sans" w:cs="Noto Sans"/>
                <w:sz w:val="16"/>
                <w:szCs w:val="16"/>
              </w:rPr>
              <w:t>Entidades no sectorizadas</w:t>
            </w:r>
          </w:p>
        </w:tc>
        <w:tc>
          <w:tcPr>
            <w:tcW w:w="1170" w:type="dxa"/>
            <w:vAlign w:val="center"/>
          </w:tcPr>
          <w:p w:rsidR="00C44463" w:rsidRPr="00CE30CE" w:rsidRDefault="00C44463" w:rsidP="00CE30CE">
            <w:pPr>
              <w:spacing w:line="276" w:lineRule="auto"/>
              <w:jc w:val="center"/>
              <w:rPr>
                <w:rFonts w:ascii="Noto Sans" w:hAnsi="Noto Sans" w:cs="Noto Sans"/>
                <w:sz w:val="16"/>
                <w:szCs w:val="16"/>
              </w:rPr>
            </w:pPr>
            <w:r w:rsidRPr="00CE30CE">
              <w:rPr>
                <w:rFonts w:ascii="Noto Sans" w:hAnsi="Noto Sans" w:cs="Noto Sans"/>
                <w:sz w:val="16"/>
                <w:szCs w:val="16"/>
              </w:rPr>
              <w:t>U013</w:t>
            </w:r>
          </w:p>
        </w:tc>
        <w:tc>
          <w:tcPr>
            <w:tcW w:w="2414" w:type="dxa"/>
            <w:vAlign w:val="center"/>
          </w:tcPr>
          <w:p w:rsidR="00C44463" w:rsidRPr="00CE30CE" w:rsidRDefault="00C44463" w:rsidP="00EE429C">
            <w:pPr>
              <w:spacing w:line="276" w:lineRule="auto"/>
              <w:rPr>
                <w:rFonts w:ascii="Noto Sans" w:hAnsi="Noto Sans" w:cs="Noto Sans"/>
                <w:sz w:val="16"/>
                <w:szCs w:val="16"/>
              </w:rPr>
            </w:pPr>
            <w:r w:rsidRPr="00CE30CE">
              <w:rPr>
                <w:rFonts w:ascii="Noto Sans" w:hAnsi="Noto Sans" w:cs="Noto Sans"/>
                <w:sz w:val="16"/>
                <w:szCs w:val="16"/>
              </w:rPr>
              <w:t>Aytención a la salud y medicamentos Gratuito pafra la población sin seguridad social laboral</w:t>
            </w:r>
          </w:p>
        </w:tc>
        <w:tc>
          <w:tcPr>
            <w:tcW w:w="1560" w:type="dxa"/>
            <w:vAlign w:val="center"/>
          </w:tcPr>
          <w:p w:rsidR="00C44463" w:rsidRPr="00CE30CE" w:rsidRDefault="00C44463" w:rsidP="00CE30CE">
            <w:pPr>
              <w:spacing w:line="276" w:lineRule="auto"/>
              <w:jc w:val="center"/>
              <w:rPr>
                <w:rFonts w:ascii="Noto Sans" w:hAnsi="Noto Sans" w:cs="Noto Sans"/>
                <w:sz w:val="16"/>
                <w:szCs w:val="16"/>
              </w:rPr>
            </w:pPr>
            <w:r w:rsidRPr="00CE30CE">
              <w:rPr>
                <w:rFonts w:ascii="Noto Sans" w:hAnsi="Noto Sans" w:cs="Noto Sans"/>
                <w:sz w:val="16"/>
                <w:szCs w:val="16"/>
              </w:rPr>
              <w:t>Similitud</w:t>
            </w:r>
          </w:p>
        </w:tc>
        <w:tc>
          <w:tcPr>
            <w:tcW w:w="4582" w:type="dxa"/>
          </w:tcPr>
          <w:p w:rsidR="00C44463" w:rsidRPr="00CE30CE" w:rsidRDefault="00930467" w:rsidP="00CE30CE">
            <w:pPr>
              <w:spacing w:line="276" w:lineRule="auto"/>
              <w:jc w:val="center"/>
              <w:rPr>
                <w:rFonts w:ascii="Noto Sans" w:hAnsi="Noto Sans" w:cs="Noto Sans"/>
                <w:sz w:val="16"/>
                <w:szCs w:val="16"/>
              </w:rPr>
            </w:pPr>
            <w:r w:rsidRPr="00930467">
              <w:rPr>
                <w:rFonts w:ascii="Noto Sans" w:hAnsi="Noto Sans" w:cs="Noto Sans"/>
                <w:sz w:val="16"/>
                <w:szCs w:val="16"/>
              </w:rPr>
              <w:t>El Programa U013 “Atención a la Salud y Medicamentos Gratuitos para la Población sin Seguridad Social Laboral” (en adelante Programa U013) tiene por objeto garantizar el acceso y continuidad en la prestación de servicios de salud con calidad que demanda la población en condiciones de vulnerabilidad y sin seguridad social, preferentemente en regiones, municipios y localidades con bajo Índice de Desarrollo Humano (en adelante IDH) y de alta o muy alta marginación, a través del fortalecimiento de las redes de servicios de salud del primer nivel de atención y de hospitales comunitarios de los Servicios de Salud en las 32 entidades federativas, incluyendo a los Centros Regionales de Desarrollo Infantil y Estimulación Temprana (en adelante CEREDI), así como a las unidades fijas y móviles de IMSS Bienestar que presten servicios a la población objetivo, en los términos que se convengan en los instrumentos jurídicos que al efecto se celebren.</w:t>
            </w:r>
          </w:p>
        </w:tc>
      </w:tr>
      <w:tr w:rsidR="00C44463" w:rsidRPr="00CE30CE" w:rsidTr="008B53DB">
        <w:trPr>
          <w:trHeight w:val="161"/>
          <w:jc w:val="center"/>
        </w:trPr>
        <w:tc>
          <w:tcPr>
            <w:tcW w:w="2081" w:type="dxa"/>
            <w:vAlign w:val="center"/>
          </w:tcPr>
          <w:p w:rsidR="00C44463" w:rsidRPr="00CE30CE" w:rsidRDefault="00C44463" w:rsidP="00EE429C">
            <w:pPr>
              <w:spacing w:line="276" w:lineRule="auto"/>
              <w:jc w:val="both"/>
              <w:rPr>
                <w:rFonts w:ascii="Noto Sans" w:hAnsi="Noto Sans" w:cs="Noto Sans"/>
                <w:sz w:val="16"/>
                <w:szCs w:val="16"/>
              </w:rPr>
            </w:pPr>
            <w:r w:rsidRPr="00CE30CE">
              <w:rPr>
                <w:rFonts w:ascii="Noto Sans" w:hAnsi="Noto Sans" w:cs="Noto Sans"/>
                <w:sz w:val="16"/>
                <w:szCs w:val="16"/>
              </w:rPr>
              <w:t>IMSS</w:t>
            </w:r>
          </w:p>
        </w:tc>
        <w:tc>
          <w:tcPr>
            <w:tcW w:w="1170" w:type="dxa"/>
            <w:vAlign w:val="center"/>
          </w:tcPr>
          <w:p w:rsidR="00C44463" w:rsidRPr="00CE30CE" w:rsidRDefault="00C44463" w:rsidP="00CE30CE">
            <w:pPr>
              <w:spacing w:line="276" w:lineRule="auto"/>
              <w:jc w:val="center"/>
              <w:rPr>
                <w:rFonts w:ascii="Noto Sans" w:hAnsi="Noto Sans" w:cs="Noto Sans"/>
                <w:sz w:val="16"/>
                <w:szCs w:val="16"/>
              </w:rPr>
            </w:pPr>
            <w:r w:rsidRPr="00CE30CE">
              <w:rPr>
                <w:rFonts w:ascii="Noto Sans" w:hAnsi="Noto Sans" w:cs="Noto Sans"/>
                <w:sz w:val="16"/>
                <w:szCs w:val="16"/>
              </w:rPr>
              <w:t>E011</w:t>
            </w:r>
          </w:p>
        </w:tc>
        <w:tc>
          <w:tcPr>
            <w:tcW w:w="2414" w:type="dxa"/>
            <w:vAlign w:val="center"/>
          </w:tcPr>
          <w:p w:rsidR="00C44463" w:rsidRPr="00CE30CE" w:rsidRDefault="00C44463" w:rsidP="00EE429C">
            <w:pPr>
              <w:spacing w:line="276" w:lineRule="auto"/>
              <w:rPr>
                <w:rFonts w:ascii="Noto Sans" w:hAnsi="Noto Sans" w:cs="Noto Sans"/>
                <w:sz w:val="16"/>
                <w:szCs w:val="16"/>
              </w:rPr>
            </w:pPr>
            <w:r w:rsidRPr="00CE30CE">
              <w:rPr>
                <w:rFonts w:ascii="Noto Sans" w:hAnsi="Noto Sans" w:cs="Noto Sans"/>
                <w:sz w:val="16"/>
                <w:szCs w:val="16"/>
              </w:rPr>
              <w:t>Atención a la salud</w:t>
            </w:r>
          </w:p>
        </w:tc>
        <w:tc>
          <w:tcPr>
            <w:tcW w:w="1560" w:type="dxa"/>
            <w:vAlign w:val="center"/>
          </w:tcPr>
          <w:p w:rsidR="00C44463" w:rsidRPr="00CE30CE" w:rsidRDefault="00C44463" w:rsidP="00CE30CE">
            <w:pPr>
              <w:spacing w:line="276" w:lineRule="auto"/>
              <w:jc w:val="center"/>
              <w:rPr>
                <w:rFonts w:ascii="Noto Sans" w:hAnsi="Noto Sans" w:cs="Noto Sans"/>
                <w:sz w:val="16"/>
                <w:szCs w:val="16"/>
              </w:rPr>
            </w:pPr>
            <w:r w:rsidRPr="00CE30CE">
              <w:rPr>
                <w:rFonts w:ascii="Noto Sans" w:hAnsi="Noto Sans" w:cs="Noto Sans"/>
                <w:sz w:val="16"/>
                <w:szCs w:val="16"/>
              </w:rPr>
              <w:t>Similitud</w:t>
            </w:r>
          </w:p>
        </w:tc>
        <w:tc>
          <w:tcPr>
            <w:tcW w:w="4582" w:type="dxa"/>
          </w:tcPr>
          <w:p w:rsidR="00C44463" w:rsidRPr="00CE30CE" w:rsidRDefault="008B53DB" w:rsidP="00CE30CE">
            <w:pPr>
              <w:spacing w:line="276" w:lineRule="auto"/>
              <w:jc w:val="center"/>
              <w:rPr>
                <w:rFonts w:ascii="Noto Sans" w:hAnsi="Noto Sans" w:cs="Noto Sans"/>
                <w:sz w:val="16"/>
                <w:szCs w:val="16"/>
              </w:rPr>
            </w:pPr>
            <w:r w:rsidRPr="008B53DB">
              <w:rPr>
                <w:rFonts w:ascii="Noto Sans" w:hAnsi="Noto Sans" w:cs="Noto Sans"/>
                <w:sz w:val="16"/>
                <w:szCs w:val="16"/>
              </w:rPr>
              <w:t>El Pp E011 “Atención a la Salud” contribuye a otorgar atención a la población derechohabiente del Instituto Mexicano del Seguro Social (IMSS) de todos los grupos de edad, mediante acciones de prevención secundaria, que incluye diagnóstico clínico, paraclínico, tratamiento farmacológico, no farmacológico (estilos saludables, nutrición, trabajo social, psicología, etc.) tratamiento quirúrgico, tratamiento de sustitución</w:t>
            </w:r>
            <w:r>
              <w:rPr>
                <w:rFonts w:ascii="Noto Sans" w:hAnsi="Noto Sans" w:cs="Noto Sans"/>
                <w:sz w:val="16"/>
                <w:szCs w:val="16"/>
              </w:rPr>
              <w:t xml:space="preserve"> </w:t>
            </w:r>
            <w:r w:rsidRPr="008B53DB">
              <w:rPr>
                <w:rFonts w:ascii="Noto Sans" w:hAnsi="Noto Sans" w:cs="Noto Sans"/>
                <w:sz w:val="16"/>
                <w:szCs w:val="16"/>
              </w:rPr>
              <w:t>sostén; así como de prevención terciaria dirigida a la rehabilitación física, mental, social y de cuidados paliativos, en las unidades médicas de primero, segundo y tercer nivel de atención para incrementar la esperanza de vida al nacer de los derechohabientes</w:t>
            </w:r>
          </w:p>
        </w:tc>
      </w:tr>
      <w:tr w:rsidR="00C44463" w:rsidRPr="00CE30CE" w:rsidTr="008B53DB">
        <w:trPr>
          <w:trHeight w:val="161"/>
          <w:jc w:val="center"/>
        </w:trPr>
        <w:tc>
          <w:tcPr>
            <w:tcW w:w="2081" w:type="dxa"/>
            <w:vAlign w:val="center"/>
          </w:tcPr>
          <w:p w:rsidR="00C44463" w:rsidRPr="00CE30CE" w:rsidRDefault="00C44463" w:rsidP="00EE429C">
            <w:pPr>
              <w:spacing w:line="276" w:lineRule="auto"/>
              <w:jc w:val="both"/>
              <w:rPr>
                <w:rFonts w:ascii="Noto Sans" w:hAnsi="Noto Sans" w:cs="Noto Sans"/>
                <w:sz w:val="16"/>
                <w:szCs w:val="16"/>
              </w:rPr>
            </w:pPr>
            <w:r>
              <w:rPr>
                <w:rFonts w:ascii="Noto Sans" w:hAnsi="Noto Sans" w:cs="Noto Sans"/>
                <w:sz w:val="16"/>
                <w:szCs w:val="16"/>
              </w:rPr>
              <w:t xml:space="preserve">IMSS </w:t>
            </w:r>
          </w:p>
        </w:tc>
        <w:tc>
          <w:tcPr>
            <w:tcW w:w="1170" w:type="dxa"/>
            <w:vAlign w:val="center"/>
          </w:tcPr>
          <w:p w:rsidR="00C44463" w:rsidRPr="00CE30CE" w:rsidRDefault="00C44463" w:rsidP="00CE30CE">
            <w:pPr>
              <w:spacing w:line="276" w:lineRule="auto"/>
              <w:jc w:val="center"/>
              <w:rPr>
                <w:rFonts w:ascii="Noto Sans" w:hAnsi="Noto Sans" w:cs="Noto Sans"/>
                <w:sz w:val="16"/>
                <w:szCs w:val="16"/>
              </w:rPr>
            </w:pPr>
            <w:r>
              <w:rPr>
                <w:rFonts w:ascii="Noto Sans" w:hAnsi="Noto Sans" w:cs="Noto Sans"/>
                <w:sz w:val="16"/>
                <w:szCs w:val="16"/>
              </w:rPr>
              <w:t>E001</w:t>
            </w:r>
          </w:p>
        </w:tc>
        <w:tc>
          <w:tcPr>
            <w:tcW w:w="2414" w:type="dxa"/>
            <w:vAlign w:val="center"/>
          </w:tcPr>
          <w:p w:rsidR="00C44463" w:rsidRPr="00CE30CE" w:rsidRDefault="00C44463" w:rsidP="00EE429C">
            <w:pPr>
              <w:spacing w:line="276" w:lineRule="auto"/>
              <w:rPr>
                <w:rFonts w:ascii="Noto Sans" w:hAnsi="Noto Sans" w:cs="Noto Sans"/>
                <w:sz w:val="16"/>
                <w:szCs w:val="16"/>
              </w:rPr>
            </w:pPr>
            <w:r>
              <w:rPr>
                <w:rFonts w:ascii="Noto Sans" w:hAnsi="Noto Sans" w:cs="Noto Sans"/>
                <w:sz w:val="16"/>
                <w:szCs w:val="16"/>
              </w:rPr>
              <w:t>Atención a  la salud</w:t>
            </w:r>
          </w:p>
        </w:tc>
        <w:tc>
          <w:tcPr>
            <w:tcW w:w="1560" w:type="dxa"/>
            <w:vAlign w:val="center"/>
          </w:tcPr>
          <w:p w:rsidR="00C44463" w:rsidRPr="00CE30CE" w:rsidRDefault="00C44463" w:rsidP="00CE30CE">
            <w:pPr>
              <w:spacing w:line="276" w:lineRule="auto"/>
              <w:jc w:val="center"/>
              <w:rPr>
                <w:rFonts w:ascii="Noto Sans" w:hAnsi="Noto Sans" w:cs="Noto Sans"/>
                <w:sz w:val="16"/>
                <w:szCs w:val="16"/>
              </w:rPr>
            </w:pPr>
            <w:r>
              <w:rPr>
                <w:rFonts w:ascii="Noto Sans" w:hAnsi="Noto Sans" w:cs="Noto Sans"/>
                <w:sz w:val="16"/>
                <w:szCs w:val="16"/>
              </w:rPr>
              <w:t>Similitud</w:t>
            </w:r>
          </w:p>
        </w:tc>
        <w:tc>
          <w:tcPr>
            <w:tcW w:w="4582" w:type="dxa"/>
          </w:tcPr>
          <w:p w:rsidR="00C44463" w:rsidRDefault="00C44463" w:rsidP="00CE30CE">
            <w:pPr>
              <w:spacing w:line="276" w:lineRule="auto"/>
              <w:jc w:val="center"/>
              <w:rPr>
                <w:rFonts w:ascii="Noto Sans" w:hAnsi="Noto Sans" w:cs="Noto Sans"/>
                <w:sz w:val="16"/>
                <w:szCs w:val="16"/>
              </w:rPr>
            </w:pPr>
            <w:r w:rsidRPr="00C44463">
              <w:rPr>
                <w:rFonts w:ascii="Noto Sans" w:hAnsi="Noto Sans" w:cs="Noto Sans"/>
                <w:sz w:val="16"/>
                <w:szCs w:val="16"/>
              </w:rPr>
              <w:t xml:space="preserve">Objetivo de Propósito: En la población derechohabiente del IMSS se reduce la presentación de  enfermedades  prevenibles y embarazos de alto riesgo. </w:t>
            </w:r>
            <w:r w:rsidRPr="00C44463">
              <w:rPr>
                <w:rFonts w:ascii="Noto Sans" w:hAnsi="Noto Sans" w:cs="Noto Sans"/>
                <w:sz w:val="16"/>
                <w:szCs w:val="16"/>
              </w:rPr>
              <w:t xml:space="preserve"> Objetivos específicos:  o Disminuir la mortalidad por enfermedades transmisibles y no transmisibles; o Incrementar la cobertura de la población derechohabiente del IMSS con </w:t>
            </w:r>
            <w:r w:rsidRPr="00C44463">
              <w:rPr>
                <w:rFonts w:ascii="Noto Sans" w:hAnsi="Noto Sans" w:cs="Noto Sans"/>
                <w:sz w:val="16"/>
                <w:szCs w:val="16"/>
              </w:rPr>
              <w:lastRenderedPageBreak/>
              <w:t>acciones preventivas;  o Contribuir a cambiar la cultura en salud de la población derechohabiente del IMSS;  o Formar generaciones saludables.</w:t>
            </w:r>
          </w:p>
        </w:tc>
      </w:tr>
      <w:tr w:rsidR="00C44463" w:rsidRPr="00CE30CE" w:rsidTr="008B53DB">
        <w:trPr>
          <w:trHeight w:val="175"/>
          <w:jc w:val="center"/>
        </w:trPr>
        <w:tc>
          <w:tcPr>
            <w:tcW w:w="2081" w:type="dxa"/>
            <w:vAlign w:val="center"/>
          </w:tcPr>
          <w:p w:rsidR="00C44463" w:rsidRPr="00CE30CE" w:rsidRDefault="00C44463" w:rsidP="00EE429C">
            <w:pPr>
              <w:spacing w:line="276" w:lineRule="auto"/>
              <w:jc w:val="both"/>
              <w:rPr>
                <w:rFonts w:ascii="Noto Sans" w:hAnsi="Noto Sans" w:cs="Noto Sans"/>
                <w:sz w:val="16"/>
                <w:szCs w:val="16"/>
              </w:rPr>
            </w:pPr>
            <w:r w:rsidRPr="00CE30CE">
              <w:rPr>
                <w:rFonts w:ascii="Noto Sans" w:hAnsi="Noto Sans" w:cs="Noto Sans"/>
                <w:sz w:val="16"/>
                <w:szCs w:val="16"/>
              </w:rPr>
              <w:lastRenderedPageBreak/>
              <w:t>ISSSTE</w:t>
            </w:r>
          </w:p>
        </w:tc>
        <w:tc>
          <w:tcPr>
            <w:tcW w:w="1170" w:type="dxa"/>
            <w:vAlign w:val="center"/>
          </w:tcPr>
          <w:p w:rsidR="00C44463" w:rsidRPr="00CE30CE" w:rsidRDefault="00C44463" w:rsidP="00CE30CE">
            <w:pPr>
              <w:spacing w:line="276" w:lineRule="auto"/>
              <w:jc w:val="center"/>
              <w:rPr>
                <w:rFonts w:ascii="Noto Sans" w:hAnsi="Noto Sans" w:cs="Noto Sans"/>
                <w:sz w:val="16"/>
                <w:szCs w:val="16"/>
              </w:rPr>
            </w:pPr>
            <w:r w:rsidRPr="00CE30CE">
              <w:rPr>
                <w:rFonts w:ascii="Noto Sans" w:hAnsi="Noto Sans" w:cs="Noto Sans"/>
                <w:sz w:val="16"/>
                <w:szCs w:val="16"/>
              </w:rPr>
              <w:t>E044</w:t>
            </w:r>
          </w:p>
        </w:tc>
        <w:tc>
          <w:tcPr>
            <w:tcW w:w="2414" w:type="dxa"/>
            <w:vAlign w:val="center"/>
          </w:tcPr>
          <w:p w:rsidR="00C44463" w:rsidRPr="00CE30CE" w:rsidRDefault="00C44463" w:rsidP="00EE429C">
            <w:pPr>
              <w:spacing w:line="276" w:lineRule="auto"/>
              <w:rPr>
                <w:rFonts w:ascii="Noto Sans" w:hAnsi="Noto Sans" w:cs="Noto Sans"/>
                <w:sz w:val="16"/>
                <w:szCs w:val="16"/>
              </w:rPr>
            </w:pPr>
            <w:r w:rsidRPr="00CE30CE">
              <w:rPr>
                <w:rFonts w:ascii="Noto Sans" w:hAnsi="Noto Sans" w:cs="Noto Sans"/>
                <w:sz w:val="16"/>
                <w:szCs w:val="16"/>
              </w:rPr>
              <w:t>Atención a l</w:t>
            </w:r>
            <w:r>
              <w:rPr>
                <w:rFonts w:ascii="Noto Sans" w:hAnsi="Noto Sans" w:cs="Noto Sans"/>
                <w:sz w:val="16"/>
                <w:szCs w:val="16"/>
              </w:rPr>
              <w:t>a</w:t>
            </w:r>
            <w:r w:rsidRPr="00CE30CE">
              <w:rPr>
                <w:rFonts w:ascii="Noto Sans" w:hAnsi="Noto Sans" w:cs="Noto Sans"/>
                <w:sz w:val="16"/>
                <w:szCs w:val="16"/>
              </w:rPr>
              <w:t xml:space="preserve"> salud</w:t>
            </w:r>
          </w:p>
        </w:tc>
        <w:tc>
          <w:tcPr>
            <w:tcW w:w="1560" w:type="dxa"/>
            <w:vAlign w:val="center"/>
          </w:tcPr>
          <w:p w:rsidR="00C44463" w:rsidRPr="00CE30CE" w:rsidRDefault="00C44463" w:rsidP="00CE30CE">
            <w:pPr>
              <w:spacing w:line="276" w:lineRule="auto"/>
              <w:jc w:val="center"/>
              <w:rPr>
                <w:rFonts w:ascii="Noto Sans" w:hAnsi="Noto Sans" w:cs="Noto Sans"/>
                <w:sz w:val="16"/>
                <w:szCs w:val="16"/>
              </w:rPr>
            </w:pPr>
            <w:r w:rsidRPr="00CE30CE">
              <w:rPr>
                <w:rFonts w:ascii="Noto Sans" w:hAnsi="Noto Sans" w:cs="Noto Sans"/>
                <w:sz w:val="16"/>
                <w:szCs w:val="16"/>
              </w:rPr>
              <w:t>Similitud</w:t>
            </w:r>
          </w:p>
        </w:tc>
        <w:tc>
          <w:tcPr>
            <w:tcW w:w="4582" w:type="dxa"/>
          </w:tcPr>
          <w:p w:rsidR="00C44463" w:rsidRPr="00CE30CE" w:rsidRDefault="008B53DB" w:rsidP="00CE30CE">
            <w:pPr>
              <w:spacing w:line="276" w:lineRule="auto"/>
              <w:jc w:val="center"/>
              <w:rPr>
                <w:rFonts w:ascii="Noto Sans" w:hAnsi="Noto Sans" w:cs="Noto Sans"/>
                <w:sz w:val="16"/>
                <w:szCs w:val="16"/>
              </w:rPr>
            </w:pPr>
            <w:r w:rsidRPr="008B53DB">
              <w:rPr>
                <w:rFonts w:ascii="Noto Sans" w:hAnsi="Noto Sans" w:cs="Noto Sans"/>
                <w:sz w:val="16"/>
                <w:szCs w:val="16"/>
              </w:rPr>
              <w:t>Temática: Prestación de servicios médicos y de seguridad social. Objetivo: Generar las condiciones de salud, económicas y sociales que permitan mejorar el bienestar integral de los derechohabientes del ISSSTE</w:t>
            </w:r>
          </w:p>
        </w:tc>
      </w:tr>
      <w:tr w:rsidR="00C44463" w:rsidRPr="00CE30CE" w:rsidTr="008B53DB">
        <w:trPr>
          <w:trHeight w:val="224"/>
          <w:jc w:val="center"/>
        </w:trPr>
        <w:tc>
          <w:tcPr>
            <w:tcW w:w="2081" w:type="dxa"/>
            <w:vAlign w:val="center"/>
          </w:tcPr>
          <w:p w:rsidR="00C44463" w:rsidRPr="00CE30CE" w:rsidRDefault="00C44463" w:rsidP="00EE429C">
            <w:pPr>
              <w:spacing w:line="276" w:lineRule="auto"/>
              <w:jc w:val="both"/>
              <w:rPr>
                <w:rFonts w:ascii="Noto Sans" w:hAnsi="Noto Sans" w:cs="Noto Sans"/>
                <w:sz w:val="16"/>
                <w:szCs w:val="16"/>
              </w:rPr>
            </w:pPr>
            <w:r w:rsidRPr="00CE30CE">
              <w:rPr>
                <w:rFonts w:ascii="Noto Sans" w:hAnsi="Noto Sans" w:cs="Noto Sans"/>
                <w:sz w:val="16"/>
                <w:szCs w:val="16"/>
              </w:rPr>
              <w:t>Aportaciones a Seguridad Social</w:t>
            </w:r>
          </w:p>
        </w:tc>
        <w:tc>
          <w:tcPr>
            <w:tcW w:w="1170" w:type="dxa"/>
            <w:vAlign w:val="center"/>
          </w:tcPr>
          <w:p w:rsidR="00C44463" w:rsidRPr="00CE30CE" w:rsidRDefault="00C44463" w:rsidP="00CE30CE">
            <w:pPr>
              <w:spacing w:line="276" w:lineRule="auto"/>
              <w:jc w:val="center"/>
              <w:rPr>
                <w:rFonts w:ascii="Noto Sans" w:hAnsi="Noto Sans" w:cs="Noto Sans"/>
                <w:sz w:val="16"/>
                <w:szCs w:val="16"/>
              </w:rPr>
            </w:pPr>
            <w:r w:rsidRPr="00CE30CE">
              <w:rPr>
                <w:rFonts w:ascii="Noto Sans" w:hAnsi="Noto Sans" w:cs="Noto Sans"/>
                <w:sz w:val="16"/>
                <w:szCs w:val="16"/>
              </w:rPr>
              <w:t>S038</w:t>
            </w:r>
          </w:p>
        </w:tc>
        <w:tc>
          <w:tcPr>
            <w:tcW w:w="2414" w:type="dxa"/>
            <w:vAlign w:val="center"/>
          </w:tcPr>
          <w:p w:rsidR="00C44463" w:rsidRPr="00CE30CE" w:rsidRDefault="00C44463" w:rsidP="00EE429C">
            <w:pPr>
              <w:spacing w:line="276" w:lineRule="auto"/>
              <w:rPr>
                <w:rFonts w:ascii="Noto Sans" w:hAnsi="Noto Sans" w:cs="Noto Sans"/>
                <w:sz w:val="16"/>
                <w:szCs w:val="16"/>
              </w:rPr>
            </w:pPr>
            <w:r w:rsidRPr="00CE30CE">
              <w:rPr>
                <w:rFonts w:ascii="Noto Sans" w:hAnsi="Noto Sans" w:cs="Noto Sans"/>
                <w:sz w:val="16"/>
                <w:szCs w:val="16"/>
              </w:rPr>
              <w:t>IMSS-bienestar</w:t>
            </w:r>
          </w:p>
        </w:tc>
        <w:tc>
          <w:tcPr>
            <w:tcW w:w="1560" w:type="dxa"/>
            <w:vAlign w:val="center"/>
          </w:tcPr>
          <w:p w:rsidR="00C44463" w:rsidRPr="00CE30CE" w:rsidRDefault="00C44463" w:rsidP="00CE30CE">
            <w:pPr>
              <w:spacing w:line="276" w:lineRule="auto"/>
              <w:jc w:val="center"/>
              <w:rPr>
                <w:rFonts w:ascii="Noto Sans" w:hAnsi="Noto Sans" w:cs="Noto Sans"/>
                <w:sz w:val="16"/>
                <w:szCs w:val="16"/>
              </w:rPr>
            </w:pPr>
            <w:r w:rsidRPr="00CE30CE">
              <w:rPr>
                <w:rFonts w:ascii="Noto Sans" w:hAnsi="Noto Sans" w:cs="Noto Sans"/>
                <w:sz w:val="16"/>
                <w:szCs w:val="16"/>
              </w:rPr>
              <w:t>Similitud</w:t>
            </w:r>
          </w:p>
        </w:tc>
        <w:tc>
          <w:tcPr>
            <w:tcW w:w="4582" w:type="dxa"/>
          </w:tcPr>
          <w:p w:rsidR="00C44463" w:rsidRPr="00CE30CE" w:rsidRDefault="008B53DB" w:rsidP="00CE30CE">
            <w:pPr>
              <w:spacing w:line="276" w:lineRule="auto"/>
              <w:jc w:val="center"/>
              <w:rPr>
                <w:rFonts w:ascii="Noto Sans" w:hAnsi="Noto Sans" w:cs="Noto Sans"/>
                <w:sz w:val="16"/>
                <w:szCs w:val="16"/>
              </w:rPr>
            </w:pPr>
            <w:r>
              <w:rPr>
                <w:rFonts w:ascii="Noto Sans" w:hAnsi="Noto Sans" w:cs="Noto Sans"/>
                <w:sz w:val="16"/>
                <w:szCs w:val="16"/>
              </w:rPr>
              <w:t xml:space="preserve">Otorga servicios integrales de salud gratuitos a la población sin seguridad social que lo solicite sin condiciomiento o criterios de elegibilidad, mediante un Modelo de Atención Integral a la Salud que víncula la prestación de servicios y la acción comunitaria, en las entidades donde opera el programa, a través de </w:t>
            </w:r>
            <w:r w:rsidR="00AF193C">
              <w:rPr>
                <w:rFonts w:ascii="Noto Sans" w:hAnsi="Noto Sans" w:cs="Noto Sans"/>
                <w:sz w:val="16"/>
                <w:szCs w:val="16"/>
              </w:rPr>
              <w:t>servicios de salud en las unidades médicas, asesorías y orientación a la red comunitaria del Programa (parteras, voluntarias de slud, voluntarios).</w:t>
            </w:r>
          </w:p>
        </w:tc>
      </w:tr>
      <w:tr w:rsidR="00C44463" w:rsidRPr="00CE30CE" w:rsidTr="008B53DB">
        <w:trPr>
          <w:trHeight w:val="233"/>
          <w:jc w:val="center"/>
        </w:trPr>
        <w:tc>
          <w:tcPr>
            <w:tcW w:w="2081" w:type="dxa"/>
            <w:vAlign w:val="center"/>
          </w:tcPr>
          <w:p w:rsidR="00C44463" w:rsidRPr="00CE30CE" w:rsidRDefault="00C44463" w:rsidP="00EE429C">
            <w:pPr>
              <w:spacing w:line="276" w:lineRule="auto"/>
              <w:jc w:val="both"/>
              <w:rPr>
                <w:rFonts w:ascii="Noto Sans" w:hAnsi="Noto Sans" w:cs="Noto Sans"/>
                <w:sz w:val="16"/>
                <w:szCs w:val="16"/>
              </w:rPr>
            </w:pPr>
            <w:r w:rsidRPr="00CE30CE">
              <w:rPr>
                <w:rFonts w:ascii="Noto Sans" w:hAnsi="Noto Sans" w:cs="Noto Sans"/>
                <w:sz w:val="16"/>
                <w:szCs w:val="16"/>
              </w:rPr>
              <w:t>Salud</w:t>
            </w:r>
          </w:p>
        </w:tc>
        <w:tc>
          <w:tcPr>
            <w:tcW w:w="1170" w:type="dxa"/>
            <w:vAlign w:val="center"/>
          </w:tcPr>
          <w:p w:rsidR="00C44463" w:rsidRPr="00CE30CE" w:rsidRDefault="00C44463" w:rsidP="00CE30CE">
            <w:pPr>
              <w:spacing w:line="276" w:lineRule="auto"/>
              <w:jc w:val="center"/>
              <w:rPr>
                <w:rFonts w:ascii="Noto Sans" w:hAnsi="Noto Sans" w:cs="Noto Sans"/>
                <w:sz w:val="16"/>
                <w:szCs w:val="16"/>
              </w:rPr>
            </w:pPr>
            <w:r w:rsidRPr="00CE30CE">
              <w:rPr>
                <w:rFonts w:ascii="Noto Sans" w:hAnsi="Noto Sans" w:cs="Noto Sans"/>
                <w:sz w:val="16"/>
                <w:szCs w:val="16"/>
              </w:rPr>
              <w:t>E010</w:t>
            </w:r>
          </w:p>
        </w:tc>
        <w:tc>
          <w:tcPr>
            <w:tcW w:w="2414" w:type="dxa"/>
            <w:vAlign w:val="center"/>
          </w:tcPr>
          <w:p w:rsidR="00C44463" w:rsidRPr="00CE30CE" w:rsidRDefault="00C44463" w:rsidP="00EE429C">
            <w:pPr>
              <w:spacing w:line="276" w:lineRule="auto"/>
              <w:rPr>
                <w:rFonts w:ascii="Noto Sans" w:hAnsi="Noto Sans" w:cs="Noto Sans"/>
                <w:sz w:val="16"/>
                <w:szCs w:val="16"/>
              </w:rPr>
            </w:pPr>
            <w:r w:rsidRPr="00CE30CE">
              <w:rPr>
                <w:rFonts w:ascii="Noto Sans" w:hAnsi="Noto Sans" w:cs="Noto Sans"/>
                <w:sz w:val="16"/>
                <w:szCs w:val="16"/>
              </w:rPr>
              <w:t>Formación y capacitación de recursos humanos para la salud</w:t>
            </w:r>
          </w:p>
        </w:tc>
        <w:tc>
          <w:tcPr>
            <w:tcW w:w="1560" w:type="dxa"/>
            <w:vAlign w:val="center"/>
          </w:tcPr>
          <w:p w:rsidR="00C44463" w:rsidRPr="00CE30CE" w:rsidRDefault="00C44463" w:rsidP="00CE30CE">
            <w:pPr>
              <w:spacing w:line="276" w:lineRule="auto"/>
              <w:jc w:val="center"/>
              <w:rPr>
                <w:rFonts w:ascii="Noto Sans" w:hAnsi="Noto Sans" w:cs="Noto Sans"/>
                <w:sz w:val="16"/>
                <w:szCs w:val="16"/>
              </w:rPr>
            </w:pPr>
            <w:r w:rsidRPr="00CE30CE">
              <w:rPr>
                <w:rFonts w:ascii="Noto Sans" w:hAnsi="Noto Sans" w:cs="Noto Sans"/>
                <w:sz w:val="16"/>
                <w:szCs w:val="16"/>
              </w:rPr>
              <w:t>Complementario</w:t>
            </w:r>
          </w:p>
        </w:tc>
        <w:tc>
          <w:tcPr>
            <w:tcW w:w="4582" w:type="dxa"/>
          </w:tcPr>
          <w:p w:rsidR="00C44463" w:rsidRPr="00CE30CE" w:rsidRDefault="00AF193C" w:rsidP="00CE30CE">
            <w:pPr>
              <w:spacing w:line="276" w:lineRule="auto"/>
              <w:jc w:val="center"/>
              <w:rPr>
                <w:rFonts w:ascii="Noto Sans" w:hAnsi="Noto Sans" w:cs="Noto Sans"/>
                <w:sz w:val="16"/>
                <w:szCs w:val="16"/>
              </w:rPr>
            </w:pPr>
            <w:r w:rsidRPr="00AF193C">
              <w:rPr>
                <w:rFonts w:ascii="Noto Sans" w:hAnsi="Noto Sans" w:cs="Noto Sans"/>
                <w:sz w:val="16"/>
                <w:szCs w:val="16"/>
              </w:rPr>
              <w:t>Fortalecimientodelosserviciosdesaludalcontarconpersonalconcapacidades,conocimientosycompetenciasnecesariasparabrindar lamejoratenciónconcalidad yseguridad.El Programadesarrollaprogramasacadémicos, cursosyeventosdecapacitaciónde formaanual, para la formacióndeespecialistasdeposgradoy educacióncontinuaparamédicosespecialistasyotrosprofesionalesde la</w:t>
            </w:r>
            <w:r>
              <w:rPr>
                <w:rFonts w:ascii="Noto Sans" w:hAnsi="Noto Sans" w:cs="Noto Sans"/>
                <w:sz w:val="16"/>
                <w:szCs w:val="16"/>
              </w:rPr>
              <w:t xml:space="preserve"> </w:t>
            </w:r>
            <w:r w:rsidRPr="00AF193C">
              <w:rPr>
                <w:rFonts w:ascii="Noto Sans" w:hAnsi="Noto Sans" w:cs="Noto Sans"/>
                <w:sz w:val="16"/>
                <w:szCs w:val="16"/>
              </w:rPr>
              <w:t>salud (especialidades,maestrías, doctorados tantoclínicoscomonoclínicos), así como cursosdeactualización(educacióncontinua)parapersonaldelosserviciosdesaludycapacitaciónalosservidorespúblicosdelaSecretaríadeSaludysusórganos coordinados.</w:t>
            </w:r>
          </w:p>
        </w:tc>
      </w:tr>
      <w:tr w:rsidR="00C44463" w:rsidRPr="00CE30CE" w:rsidTr="008B53DB">
        <w:trPr>
          <w:trHeight w:val="289"/>
          <w:jc w:val="center"/>
        </w:trPr>
        <w:tc>
          <w:tcPr>
            <w:tcW w:w="2081" w:type="dxa"/>
            <w:vAlign w:val="center"/>
          </w:tcPr>
          <w:p w:rsidR="00C44463" w:rsidRPr="00CE30CE" w:rsidRDefault="00C44463" w:rsidP="00EE429C">
            <w:pPr>
              <w:spacing w:line="276" w:lineRule="auto"/>
              <w:jc w:val="both"/>
              <w:rPr>
                <w:rFonts w:ascii="Noto Sans" w:hAnsi="Noto Sans" w:cs="Noto Sans"/>
                <w:sz w:val="16"/>
                <w:szCs w:val="16"/>
              </w:rPr>
            </w:pPr>
            <w:r w:rsidRPr="00CE30CE">
              <w:rPr>
                <w:rFonts w:ascii="Noto Sans" w:hAnsi="Noto Sans" w:cs="Noto Sans"/>
                <w:sz w:val="16"/>
                <w:szCs w:val="16"/>
              </w:rPr>
              <w:t>Salud</w:t>
            </w:r>
          </w:p>
        </w:tc>
        <w:tc>
          <w:tcPr>
            <w:tcW w:w="1170" w:type="dxa"/>
            <w:vAlign w:val="center"/>
          </w:tcPr>
          <w:p w:rsidR="00C44463" w:rsidRPr="00CE30CE" w:rsidRDefault="00C44463" w:rsidP="00CE30CE">
            <w:pPr>
              <w:spacing w:line="276" w:lineRule="auto"/>
              <w:jc w:val="center"/>
              <w:rPr>
                <w:rFonts w:ascii="Noto Sans" w:hAnsi="Noto Sans" w:cs="Noto Sans"/>
                <w:sz w:val="16"/>
                <w:szCs w:val="16"/>
              </w:rPr>
            </w:pPr>
            <w:r w:rsidRPr="00CE30CE">
              <w:rPr>
                <w:rFonts w:ascii="Noto Sans" w:hAnsi="Noto Sans" w:cs="Noto Sans"/>
                <w:sz w:val="16"/>
                <w:szCs w:val="16"/>
              </w:rPr>
              <w:t>E022</w:t>
            </w:r>
          </w:p>
        </w:tc>
        <w:tc>
          <w:tcPr>
            <w:tcW w:w="2414" w:type="dxa"/>
            <w:vAlign w:val="center"/>
          </w:tcPr>
          <w:p w:rsidR="00C44463" w:rsidRPr="00CE30CE" w:rsidRDefault="00C44463" w:rsidP="00EE429C">
            <w:pPr>
              <w:spacing w:line="276" w:lineRule="auto"/>
              <w:rPr>
                <w:rFonts w:ascii="Noto Sans" w:hAnsi="Noto Sans" w:cs="Noto Sans"/>
                <w:sz w:val="16"/>
                <w:szCs w:val="16"/>
              </w:rPr>
            </w:pPr>
            <w:r w:rsidRPr="00CE30CE">
              <w:rPr>
                <w:rFonts w:ascii="Noto Sans" w:hAnsi="Noto Sans" w:cs="Noto Sans"/>
                <w:sz w:val="16"/>
                <w:szCs w:val="16"/>
              </w:rPr>
              <w:t>Investigación y desarrollo tecnológico en salud</w:t>
            </w:r>
          </w:p>
        </w:tc>
        <w:tc>
          <w:tcPr>
            <w:tcW w:w="1560" w:type="dxa"/>
            <w:vAlign w:val="center"/>
          </w:tcPr>
          <w:p w:rsidR="00C44463" w:rsidRPr="00CE30CE" w:rsidRDefault="00C44463" w:rsidP="00CE30CE">
            <w:pPr>
              <w:spacing w:line="276" w:lineRule="auto"/>
              <w:jc w:val="center"/>
              <w:rPr>
                <w:rFonts w:ascii="Noto Sans" w:hAnsi="Noto Sans" w:cs="Noto Sans"/>
                <w:sz w:val="16"/>
                <w:szCs w:val="16"/>
              </w:rPr>
            </w:pPr>
            <w:r w:rsidRPr="00CE30CE">
              <w:rPr>
                <w:rFonts w:ascii="Noto Sans" w:hAnsi="Noto Sans" w:cs="Noto Sans"/>
                <w:sz w:val="16"/>
                <w:szCs w:val="16"/>
              </w:rPr>
              <w:t>Complementario</w:t>
            </w:r>
          </w:p>
        </w:tc>
        <w:tc>
          <w:tcPr>
            <w:tcW w:w="4582" w:type="dxa"/>
          </w:tcPr>
          <w:p w:rsidR="00C44463" w:rsidRPr="00CE30CE" w:rsidRDefault="00FC01BF" w:rsidP="00CE30CE">
            <w:pPr>
              <w:spacing w:line="276" w:lineRule="auto"/>
              <w:jc w:val="center"/>
              <w:rPr>
                <w:rFonts w:ascii="Noto Sans" w:hAnsi="Noto Sans" w:cs="Noto Sans"/>
                <w:sz w:val="16"/>
                <w:szCs w:val="16"/>
              </w:rPr>
            </w:pPr>
            <w:r w:rsidRPr="00FC01BF">
              <w:rPr>
                <w:rFonts w:ascii="Noto Sans" w:hAnsi="Noto Sans" w:cs="Noto Sans"/>
                <w:sz w:val="16"/>
                <w:szCs w:val="16"/>
              </w:rPr>
              <w:t>El fin del programa es lograr que la investigación científica contribuya a mejorar las condiciones de salud de la población. Otorga apoyos financieros para que los profesionales de la salud de las unidades de la Comisión Coordinadora de Institutos Nacionales de Salud y Hospitales de Alta Especialidad (CCINSHAE) realicen actividades de investigación científica y tecnológica en salud. La entrega de apoyos se sustenta en la corresponsabilidad de los investigadores beneficiados y el programa para lograr que las investigaciones se publiquen en revistas especializadas. Para la consecución de sus objetivos se realizan actividades para incentivar la eficiencia terminal de los proyectos de investigación, incrementar la productividad científica, evaluar a los investigadores, así como propiciar la ocupación de las plazas de investigador autorizadas y la colaboración en el ámbito de la investigación.</w:t>
            </w:r>
          </w:p>
        </w:tc>
      </w:tr>
      <w:tr w:rsidR="00C44463" w:rsidRPr="00CE30CE" w:rsidTr="008B53DB">
        <w:trPr>
          <w:trHeight w:val="229"/>
          <w:jc w:val="center"/>
        </w:trPr>
        <w:tc>
          <w:tcPr>
            <w:tcW w:w="2081" w:type="dxa"/>
            <w:vAlign w:val="center"/>
          </w:tcPr>
          <w:p w:rsidR="00C44463" w:rsidRPr="00CE30CE" w:rsidRDefault="00C44463" w:rsidP="00EE429C">
            <w:pPr>
              <w:spacing w:line="276" w:lineRule="auto"/>
              <w:jc w:val="both"/>
              <w:rPr>
                <w:rFonts w:ascii="Noto Sans" w:hAnsi="Noto Sans" w:cs="Noto Sans"/>
                <w:sz w:val="16"/>
                <w:szCs w:val="16"/>
              </w:rPr>
            </w:pPr>
            <w:r w:rsidRPr="00CE30CE">
              <w:rPr>
                <w:rFonts w:ascii="Noto Sans" w:hAnsi="Noto Sans" w:cs="Noto Sans"/>
                <w:sz w:val="16"/>
                <w:szCs w:val="16"/>
              </w:rPr>
              <w:lastRenderedPageBreak/>
              <w:t>Entidades no sectorizadas</w:t>
            </w:r>
          </w:p>
        </w:tc>
        <w:tc>
          <w:tcPr>
            <w:tcW w:w="1170" w:type="dxa"/>
            <w:vAlign w:val="center"/>
          </w:tcPr>
          <w:p w:rsidR="00C44463" w:rsidRPr="00CE30CE" w:rsidRDefault="00C44463" w:rsidP="00CE30CE">
            <w:pPr>
              <w:spacing w:line="276" w:lineRule="auto"/>
              <w:jc w:val="center"/>
              <w:rPr>
                <w:rFonts w:ascii="Noto Sans" w:hAnsi="Noto Sans" w:cs="Noto Sans"/>
                <w:sz w:val="16"/>
                <w:szCs w:val="16"/>
              </w:rPr>
            </w:pPr>
            <w:r w:rsidRPr="00CE30CE">
              <w:rPr>
                <w:rFonts w:ascii="Noto Sans" w:hAnsi="Noto Sans" w:cs="Noto Sans"/>
                <w:sz w:val="16"/>
                <w:szCs w:val="16"/>
              </w:rPr>
              <w:t>E001</w:t>
            </w:r>
          </w:p>
        </w:tc>
        <w:tc>
          <w:tcPr>
            <w:tcW w:w="2414" w:type="dxa"/>
            <w:vAlign w:val="center"/>
          </w:tcPr>
          <w:p w:rsidR="00C44463" w:rsidRPr="00CE30CE" w:rsidRDefault="00C44463" w:rsidP="00EE429C">
            <w:pPr>
              <w:spacing w:line="276" w:lineRule="auto"/>
              <w:rPr>
                <w:rFonts w:ascii="Noto Sans" w:hAnsi="Noto Sans" w:cs="Noto Sans"/>
                <w:sz w:val="16"/>
                <w:szCs w:val="16"/>
              </w:rPr>
            </w:pPr>
            <w:r w:rsidRPr="00CE30CE">
              <w:rPr>
                <w:rFonts w:ascii="Noto Sans" w:hAnsi="Noto Sans" w:cs="Noto Sans"/>
                <w:sz w:val="16"/>
                <w:szCs w:val="16"/>
              </w:rPr>
              <w:t>Atención a la salud de per</w:t>
            </w:r>
            <w:r>
              <w:rPr>
                <w:rFonts w:ascii="Noto Sans" w:hAnsi="Noto Sans" w:cs="Noto Sans"/>
                <w:sz w:val="16"/>
                <w:szCs w:val="16"/>
              </w:rPr>
              <w:t>s</w:t>
            </w:r>
            <w:r w:rsidRPr="00CE30CE">
              <w:rPr>
                <w:rFonts w:ascii="Noto Sans" w:hAnsi="Noto Sans" w:cs="Noto Sans"/>
                <w:sz w:val="16"/>
                <w:szCs w:val="16"/>
              </w:rPr>
              <w:t>onas sin seguridad social</w:t>
            </w:r>
          </w:p>
        </w:tc>
        <w:tc>
          <w:tcPr>
            <w:tcW w:w="1560" w:type="dxa"/>
            <w:vAlign w:val="center"/>
          </w:tcPr>
          <w:p w:rsidR="00C44463" w:rsidRPr="00CE30CE" w:rsidRDefault="00C44463" w:rsidP="00CE30CE">
            <w:pPr>
              <w:spacing w:line="276" w:lineRule="auto"/>
              <w:jc w:val="center"/>
              <w:rPr>
                <w:rFonts w:ascii="Noto Sans" w:hAnsi="Noto Sans" w:cs="Noto Sans"/>
                <w:sz w:val="16"/>
                <w:szCs w:val="16"/>
              </w:rPr>
            </w:pPr>
            <w:r w:rsidRPr="00CE30CE">
              <w:rPr>
                <w:rFonts w:ascii="Noto Sans" w:hAnsi="Noto Sans" w:cs="Noto Sans"/>
                <w:sz w:val="16"/>
                <w:szCs w:val="16"/>
              </w:rPr>
              <w:t>Similitud</w:t>
            </w:r>
          </w:p>
        </w:tc>
        <w:tc>
          <w:tcPr>
            <w:tcW w:w="4582" w:type="dxa"/>
          </w:tcPr>
          <w:p w:rsidR="00C44463" w:rsidRPr="00CE30CE" w:rsidRDefault="00FC01BF" w:rsidP="00CE30CE">
            <w:pPr>
              <w:spacing w:line="276" w:lineRule="auto"/>
              <w:jc w:val="center"/>
              <w:rPr>
                <w:rFonts w:ascii="Noto Sans" w:hAnsi="Noto Sans" w:cs="Noto Sans"/>
                <w:sz w:val="16"/>
                <w:szCs w:val="16"/>
              </w:rPr>
            </w:pPr>
            <w:r w:rsidRPr="00FC01BF">
              <w:rPr>
                <w:rFonts w:ascii="Noto Sans" w:hAnsi="Noto Sans" w:cs="Noto Sans"/>
                <w:sz w:val="16"/>
                <w:szCs w:val="16"/>
              </w:rPr>
              <w:t>Contribuye</w:t>
            </w:r>
            <w:r>
              <w:rPr>
                <w:rFonts w:ascii="Noto Sans" w:hAnsi="Noto Sans" w:cs="Noto Sans"/>
                <w:sz w:val="16"/>
                <w:szCs w:val="16"/>
              </w:rPr>
              <w:t xml:space="preserve"> </w:t>
            </w:r>
            <w:r w:rsidRPr="00FC01BF">
              <w:rPr>
                <w:rFonts w:ascii="Noto Sans" w:hAnsi="Noto Sans" w:cs="Noto Sans"/>
                <w:sz w:val="16"/>
                <w:szCs w:val="16"/>
              </w:rPr>
              <w:t>a</w:t>
            </w:r>
            <w:r>
              <w:rPr>
                <w:rFonts w:ascii="Noto Sans" w:hAnsi="Noto Sans" w:cs="Noto Sans"/>
                <w:sz w:val="16"/>
                <w:szCs w:val="16"/>
              </w:rPr>
              <w:t xml:space="preserve"> </w:t>
            </w:r>
            <w:r w:rsidRPr="00FC01BF">
              <w:rPr>
                <w:rFonts w:ascii="Noto Sans" w:hAnsi="Noto Sans" w:cs="Noto Sans"/>
                <w:sz w:val="16"/>
                <w:szCs w:val="16"/>
              </w:rPr>
              <w:t>proteger</w:t>
            </w:r>
            <w:r>
              <w:rPr>
                <w:rFonts w:ascii="Noto Sans" w:hAnsi="Noto Sans" w:cs="Noto Sans"/>
                <w:sz w:val="16"/>
                <w:szCs w:val="16"/>
              </w:rPr>
              <w:t xml:space="preserve"> </w:t>
            </w:r>
            <w:r w:rsidRPr="00FC01BF">
              <w:rPr>
                <w:rFonts w:ascii="Noto Sans" w:hAnsi="Noto Sans" w:cs="Noto Sans"/>
                <w:sz w:val="16"/>
                <w:szCs w:val="16"/>
              </w:rPr>
              <w:t>de</w:t>
            </w:r>
            <w:r>
              <w:rPr>
                <w:rFonts w:ascii="Noto Sans" w:hAnsi="Noto Sans" w:cs="Noto Sans"/>
                <w:sz w:val="16"/>
                <w:szCs w:val="16"/>
              </w:rPr>
              <w:t xml:space="preserve"> </w:t>
            </w:r>
            <w:r w:rsidRPr="00FC01BF">
              <w:rPr>
                <w:rFonts w:ascii="Noto Sans" w:hAnsi="Noto Sans" w:cs="Noto Sans"/>
                <w:sz w:val="16"/>
                <w:szCs w:val="16"/>
              </w:rPr>
              <w:t>los</w:t>
            </w:r>
            <w:r>
              <w:rPr>
                <w:rFonts w:ascii="Noto Sans" w:hAnsi="Noto Sans" w:cs="Noto Sans"/>
                <w:sz w:val="16"/>
                <w:szCs w:val="16"/>
              </w:rPr>
              <w:t xml:space="preserve"> </w:t>
            </w:r>
            <w:r w:rsidRPr="00FC01BF">
              <w:rPr>
                <w:rFonts w:ascii="Noto Sans" w:hAnsi="Noto Sans" w:cs="Noto Sans"/>
                <w:sz w:val="16"/>
                <w:szCs w:val="16"/>
              </w:rPr>
              <w:t>riesgos</w:t>
            </w:r>
            <w:r>
              <w:rPr>
                <w:rFonts w:ascii="Noto Sans" w:hAnsi="Noto Sans" w:cs="Noto Sans"/>
                <w:sz w:val="16"/>
                <w:szCs w:val="16"/>
              </w:rPr>
              <w:t xml:space="preserve"> </w:t>
            </w:r>
            <w:r w:rsidRPr="00FC01BF">
              <w:rPr>
                <w:rFonts w:ascii="Noto Sans" w:hAnsi="Noto Sans" w:cs="Noto Sans"/>
                <w:sz w:val="16"/>
                <w:szCs w:val="16"/>
              </w:rPr>
              <w:t>y</w:t>
            </w:r>
            <w:r>
              <w:rPr>
                <w:rFonts w:ascii="Noto Sans" w:hAnsi="Noto Sans" w:cs="Noto Sans"/>
                <w:sz w:val="16"/>
                <w:szCs w:val="16"/>
              </w:rPr>
              <w:t xml:space="preserve"> </w:t>
            </w:r>
            <w:r w:rsidRPr="00FC01BF">
              <w:rPr>
                <w:rFonts w:ascii="Noto Sans" w:hAnsi="Noto Sans" w:cs="Noto Sans"/>
                <w:sz w:val="16"/>
                <w:szCs w:val="16"/>
              </w:rPr>
              <w:t>daños</w:t>
            </w:r>
            <w:r>
              <w:rPr>
                <w:rFonts w:ascii="Noto Sans" w:hAnsi="Noto Sans" w:cs="Noto Sans"/>
                <w:sz w:val="16"/>
                <w:szCs w:val="16"/>
              </w:rPr>
              <w:t xml:space="preserve"> </w:t>
            </w:r>
            <w:r w:rsidRPr="00FC01BF">
              <w:rPr>
                <w:rFonts w:ascii="Noto Sans" w:hAnsi="Noto Sans" w:cs="Noto Sans"/>
                <w:sz w:val="16"/>
                <w:szCs w:val="16"/>
              </w:rPr>
              <w:t>a</w:t>
            </w:r>
            <w:r>
              <w:rPr>
                <w:rFonts w:ascii="Noto Sans" w:hAnsi="Noto Sans" w:cs="Noto Sans"/>
                <w:sz w:val="16"/>
                <w:szCs w:val="16"/>
              </w:rPr>
              <w:t xml:space="preserve"> </w:t>
            </w:r>
            <w:r w:rsidRPr="00FC01BF">
              <w:rPr>
                <w:rFonts w:ascii="Noto Sans" w:hAnsi="Noto Sans" w:cs="Noto Sans"/>
                <w:sz w:val="16"/>
                <w:szCs w:val="16"/>
              </w:rPr>
              <w:t>l</w:t>
            </w:r>
            <w:r>
              <w:rPr>
                <w:rFonts w:ascii="Noto Sans" w:hAnsi="Noto Sans" w:cs="Noto Sans"/>
                <w:sz w:val="16"/>
                <w:szCs w:val="16"/>
              </w:rPr>
              <w:t xml:space="preserve"> </w:t>
            </w:r>
            <w:r w:rsidRPr="00FC01BF">
              <w:rPr>
                <w:rFonts w:ascii="Noto Sans" w:hAnsi="Noto Sans" w:cs="Noto Sans"/>
                <w:sz w:val="16"/>
                <w:szCs w:val="16"/>
              </w:rPr>
              <w:t>a</w:t>
            </w:r>
            <w:r>
              <w:rPr>
                <w:rFonts w:ascii="Noto Sans" w:hAnsi="Noto Sans" w:cs="Noto Sans"/>
                <w:sz w:val="16"/>
                <w:szCs w:val="16"/>
              </w:rPr>
              <w:t xml:space="preserve"> </w:t>
            </w:r>
            <w:r w:rsidRPr="00FC01BF">
              <w:rPr>
                <w:rFonts w:ascii="Noto Sans" w:hAnsi="Noto Sans" w:cs="Noto Sans"/>
                <w:sz w:val="16"/>
                <w:szCs w:val="16"/>
              </w:rPr>
              <w:t>salud</w:t>
            </w:r>
            <w:r>
              <w:rPr>
                <w:rFonts w:ascii="Noto Sans" w:hAnsi="Noto Sans" w:cs="Noto Sans"/>
                <w:sz w:val="16"/>
                <w:szCs w:val="16"/>
              </w:rPr>
              <w:t xml:space="preserve"> </w:t>
            </w:r>
            <w:r w:rsidRPr="00FC01BF">
              <w:rPr>
                <w:rFonts w:ascii="Noto Sans" w:hAnsi="Noto Sans" w:cs="Noto Sans"/>
                <w:sz w:val="16"/>
                <w:szCs w:val="16"/>
              </w:rPr>
              <w:t>en</w:t>
            </w:r>
            <w:r>
              <w:rPr>
                <w:rFonts w:ascii="Noto Sans" w:hAnsi="Noto Sans" w:cs="Noto Sans"/>
                <w:sz w:val="16"/>
                <w:szCs w:val="16"/>
              </w:rPr>
              <w:t xml:space="preserve"> </w:t>
            </w:r>
            <w:r w:rsidRPr="00FC01BF">
              <w:rPr>
                <w:rFonts w:ascii="Noto Sans" w:hAnsi="Noto Sans" w:cs="Noto Sans"/>
                <w:sz w:val="16"/>
                <w:szCs w:val="16"/>
              </w:rPr>
              <w:t>la</w:t>
            </w:r>
            <w:r>
              <w:rPr>
                <w:rFonts w:ascii="Noto Sans" w:hAnsi="Noto Sans" w:cs="Noto Sans"/>
                <w:sz w:val="16"/>
                <w:szCs w:val="16"/>
              </w:rPr>
              <w:t xml:space="preserve"> </w:t>
            </w:r>
            <w:r w:rsidRPr="00FC01BF">
              <w:rPr>
                <w:rFonts w:ascii="Noto Sans" w:hAnsi="Noto Sans" w:cs="Noto Sans"/>
                <w:sz w:val="16"/>
                <w:szCs w:val="16"/>
              </w:rPr>
              <w:t>población</w:t>
            </w:r>
            <w:r>
              <w:rPr>
                <w:rFonts w:ascii="Noto Sans" w:hAnsi="Noto Sans" w:cs="Noto Sans"/>
                <w:sz w:val="16"/>
                <w:szCs w:val="16"/>
              </w:rPr>
              <w:t xml:space="preserve"> </w:t>
            </w:r>
            <w:r w:rsidRPr="00FC01BF">
              <w:rPr>
                <w:rFonts w:ascii="Noto Sans" w:hAnsi="Noto Sans" w:cs="Noto Sans"/>
                <w:sz w:val="16"/>
                <w:szCs w:val="16"/>
              </w:rPr>
              <w:t>derechohabiente</w:t>
            </w:r>
            <w:r>
              <w:rPr>
                <w:rFonts w:ascii="Noto Sans" w:hAnsi="Noto Sans" w:cs="Noto Sans"/>
                <w:sz w:val="16"/>
                <w:szCs w:val="16"/>
              </w:rPr>
              <w:t xml:space="preserve"> </w:t>
            </w:r>
            <w:r w:rsidRPr="00FC01BF">
              <w:rPr>
                <w:rFonts w:ascii="Noto Sans" w:hAnsi="Noto Sans" w:cs="Noto Sans"/>
                <w:sz w:val="16"/>
                <w:szCs w:val="16"/>
              </w:rPr>
              <w:t>por</w:t>
            </w:r>
            <w:r>
              <w:rPr>
                <w:rFonts w:ascii="Noto Sans" w:hAnsi="Noto Sans" w:cs="Noto Sans"/>
                <w:sz w:val="16"/>
                <w:szCs w:val="16"/>
              </w:rPr>
              <w:t xml:space="preserve"> </w:t>
            </w:r>
            <w:r w:rsidRPr="00FC01BF">
              <w:rPr>
                <w:rFonts w:ascii="Noto Sans" w:hAnsi="Noto Sans" w:cs="Noto Sans"/>
                <w:sz w:val="16"/>
                <w:szCs w:val="16"/>
              </w:rPr>
              <w:t>grupo</w:t>
            </w:r>
            <w:r>
              <w:rPr>
                <w:rFonts w:ascii="Noto Sans" w:hAnsi="Noto Sans" w:cs="Noto Sans"/>
                <w:sz w:val="16"/>
                <w:szCs w:val="16"/>
              </w:rPr>
              <w:t xml:space="preserve"> </w:t>
            </w:r>
            <w:r w:rsidRPr="00FC01BF">
              <w:rPr>
                <w:rFonts w:ascii="Noto Sans" w:hAnsi="Noto Sans" w:cs="Noto Sans"/>
                <w:sz w:val="16"/>
                <w:szCs w:val="16"/>
              </w:rPr>
              <w:t>etario</w:t>
            </w:r>
            <w:r>
              <w:rPr>
                <w:rFonts w:ascii="Noto Sans" w:hAnsi="Noto Sans" w:cs="Noto Sans"/>
                <w:sz w:val="16"/>
                <w:szCs w:val="16"/>
              </w:rPr>
              <w:t xml:space="preserve"> </w:t>
            </w:r>
            <w:r w:rsidRPr="00FC01BF">
              <w:rPr>
                <w:rFonts w:ascii="Noto Sans" w:hAnsi="Noto Sans" w:cs="Noto Sans"/>
                <w:sz w:val="16"/>
                <w:szCs w:val="16"/>
              </w:rPr>
              <w:t>y</w:t>
            </w:r>
            <w:r>
              <w:rPr>
                <w:rFonts w:ascii="Noto Sans" w:hAnsi="Noto Sans" w:cs="Noto Sans"/>
                <w:sz w:val="16"/>
                <w:szCs w:val="16"/>
              </w:rPr>
              <w:t xml:space="preserve"> </w:t>
            </w:r>
            <w:r w:rsidRPr="00FC01BF">
              <w:rPr>
                <w:rFonts w:ascii="Noto Sans" w:hAnsi="Noto Sans" w:cs="Noto Sans"/>
                <w:sz w:val="16"/>
                <w:szCs w:val="16"/>
              </w:rPr>
              <w:t>sexo,</w:t>
            </w:r>
            <w:r>
              <w:rPr>
                <w:rFonts w:ascii="Noto Sans" w:hAnsi="Noto Sans" w:cs="Noto Sans"/>
                <w:sz w:val="16"/>
                <w:szCs w:val="16"/>
              </w:rPr>
              <w:t xml:space="preserve"> </w:t>
            </w:r>
            <w:r w:rsidRPr="00FC01BF">
              <w:rPr>
                <w:rFonts w:ascii="Noto Sans" w:hAnsi="Noto Sans" w:cs="Noto Sans"/>
                <w:sz w:val="16"/>
                <w:szCs w:val="16"/>
              </w:rPr>
              <w:t>mediante</w:t>
            </w:r>
            <w:r>
              <w:rPr>
                <w:rFonts w:ascii="Noto Sans" w:hAnsi="Noto Sans" w:cs="Noto Sans"/>
                <w:sz w:val="16"/>
                <w:szCs w:val="16"/>
              </w:rPr>
              <w:t xml:space="preserve"> </w:t>
            </w:r>
            <w:r w:rsidRPr="00FC01BF">
              <w:rPr>
                <w:rFonts w:ascii="Noto Sans" w:hAnsi="Noto Sans" w:cs="Noto Sans"/>
                <w:sz w:val="16"/>
                <w:szCs w:val="16"/>
              </w:rPr>
              <w:t>acciones</w:t>
            </w:r>
            <w:r>
              <w:rPr>
                <w:rFonts w:ascii="Noto Sans" w:hAnsi="Noto Sans" w:cs="Noto Sans"/>
                <w:sz w:val="16"/>
                <w:szCs w:val="16"/>
              </w:rPr>
              <w:t xml:space="preserve"> </w:t>
            </w:r>
            <w:r w:rsidRPr="00FC01BF">
              <w:rPr>
                <w:rFonts w:ascii="Noto Sans" w:hAnsi="Noto Sans" w:cs="Noto Sans"/>
                <w:sz w:val="16"/>
                <w:szCs w:val="16"/>
              </w:rPr>
              <w:t>preventivas:</w:t>
            </w:r>
            <w:r>
              <w:rPr>
                <w:rFonts w:ascii="Noto Sans" w:hAnsi="Noto Sans" w:cs="Noto Sans"/>
                <w:sz w:val="16"/>
                <w:szCs w:val="16"/>
              </w:rPr>
              <w:t xml:space="preserve"> </w:t>
            </w:r>
            <w:r w:rsidRPr="00FC01BF">
              <w:rPr>
                <w:rFonts w:ascii="Noto Sans" w:hAnsi="Noto Sans" w:cs="Noto Sans"/>
                <w:sz w:val="16"/>
                <w:szCs w:val="16"/>
              </w:rPr>
              <w:t>vigilancia</w:t>
            </w:r>
            <w:r>
              <w:rPr>
                <w:rFonts w:ascii="Noto Sans" w:hAnsi="Noto Sans" w:cs="Noto Sans"/>
                <w:sz w:val="16"/>
                <w:szCs w:val="16"/>
              </w:rPr>
              <w:t xml:space="preserve"> </w:t>
            </w:r>
            <w:r w:rsidRPr="00FC01BF">
              <w:rPr>
                <w:rFonts w:ascii="Noto Sans" w:hAnsi="Noto Sans" w:cs="Noto Sans"/>
                <w:sz w:val="16"/>
                <w:szCs w:val="16"/>
              </w:rPr>
              <w:t>del estado</w:t>
            </w:r>
            <w:r>
              <w:rPr>
                <w:rFonts w:ascii="Noto Sans" w:hAnsi="Noto Sans" w:cs="Noto Sans"/>
                <w:sz w:val="16"/>
                <w:szCs w:val="16"/>
              </w:rPr>
              <w:t xml:space="preserve"> </w:t>
            </w:r>
            <w:r w:rsidRPr="00FC01BF">
              <w:rPr>
                <w:rFonts w:ascii="Noto Sans" w:hAnsi="Noto Sans" w:cs="Noto Sans"/>
                <w:sz w:val="16"/>
                <w:szCs w:val="16"/>
              </w:rPr>
              <w:t>de</w:t>
            </w:r>
            <w:r>
              <w:rPr>
                <w:rFonts w:ascii="Noto Sans" w:hAnsi="Noto Sans" w:cs="Noto Sans"/>
                <w:sz w:val="16"/>
                <w:szCs w:val="16"/>
              </w:rPr>
              <w:t xml:space="preserve"> </w:t>
            </w:r>
            <w:r w:rsidRPr="00FC01BF">
              <w:rPr>
                <w:rFonts w:ascii="Noto Sans" w:hAnsi="Noto Sans" w:cs="Noto Sans"/>
                <w:sz w:val="16"/>
                <w:szCs w:val="16"/>
              </w:rPr>
              <w:t>nutrición,</w:t>
            </w:r>
            <w:r>
              <w:rPr>
                <w:rFonts w:ascii="Noto Sans" w:hAnsi="Noto Sans" w:cs="Noto Sans"/>
                <w:sz w:val="16"/>
                <w:szCs w:val="16"/>
              </w:rPr>
              <w:t xml:space="preserve"> </w:t>
            </w:r>
            <w:r w:rsidRPr="00FC01BF">
              <w:rPr>
                <w:rFonts w:ascii="Noto Sans" w:hAnsi="Noto Sans" w:cs="Noto Sans"/>
                <w:sz w:val="16"/>
                <w:szCs w:val="16"/>
              </w:rPr>
              <w:t>prevención</w:t>
            </w:r>
            <w:r>
              <w:rPr>
                <w:rFonts w:ascii="Noto Sans" w:hAnsi="Noto Sans" w:cs="Noto Sans"/>
                <w:sz w:val="16"/>
                <w:szCs w:val="16"/>
              </w:rPr>
              <w:t xml:space="preserve"> </w:t>
            </w:r>
            <w:r w:rsidRPr="00FC01BF">
              <w:rPr>
                <w:rFonts w:ascii="Noto Sans" w:hAnsi="Noto Sans" w:cs="Noto Sans"/>
                <w:sz w:val="16"/>
                <w:szCs w:val="16"/>
              </w:rPr>
              <w:t>y</w:t>
            </w:r>
            <w:r>
              <w:rPr>
                <w:rFonts w:ascii="Noto Sans" w:hAnsi="Noto Sans" w:cs="Noto Sans"/>
                <w:sz w:val="16"/>
                <w:szCs w:val="16"/>
              </w:rPr>
              <w:t xml:space="preserve"> </w:t>
            </w:r>
            <w:r w:rsidRPr="00FC01BF">
              <w:rPr>
                <w:rFonts w:ascii="Noto Sans" w:hAnsi="Noto Sans" w:cs="Noto Sans"/>
                <w:sz w:val="16"/>
                <w:szCs w:val="16"/>
              </w:rPr>
              <w:t>detección</w:t>
            </w:r>
            <w:r>
              <w:rPr>
                <w:rFonts w:ascii="Noto Sans" w:hAnsi="Noto Sans" w:cs="Noto Sans"/>
                <w:sz w:val="16"/>
                <w:szCs w:val="16"/>
              </w:rPr>
              <w:t xml:space="preserve"> </w:t>
            </w:r>
            <w:r w:rsidRPr="00FC01BF">
              <w:rPr>
                <w:rFonts w:ascii="Noto Sans" w:hAnsi="Noto Sans" w:cs="Noto Sans"/>
                <w:sz w:val="16"/>
                <w:szCs w:val="16"/>
              </w:rPr>
              <w:t>de</w:t>
            </w:r>
            <w:r>
              <w:rPr>
                <w:rFonts w:ascii="Noto Sans" w:hAnsi="Noto Sans" w:cs="Noto Sans"/>
                <w:sz w:val="16"/>
                <w:szCs w:val="16"/>
              </w:rPr>
              <w:t xml:space="preserve"> </w:t>
            </w:r>
            <w:r w:rsidRPr="00FC01BF">
              <w:rPr>
                <w:rFonts w:ascii="Noto Sans" w:hAnsi="Noto Sans" w:cs="Noto Sans"/>
                <w:sz w:val="16"/>
                <w:szCs w:val="16"/>
              </w:rPr>
              <w:t>enfermedades, salud</w:t>
            </w:r>
            <w:r>
              <w:rPr>
                <w:rFonts w:ascii="Noto Sans" w:hAnsi="Noto Sans" w:cs="Noto Sans"/>
                <w:sz w:val="16"/>
                <w:szCs w:val="16"/>
              </w:rPr>
              <w:t xml:space="preserve"> </w:t>
            </w:r>
            <w:r w:rsidRPr="00FC01BF">
              <w:rPr>
                <w:rFonts w:ascii="Noto Sans" w:hAnsi="Noto Sans" w:cs="Noto Sans"/>
                <w:sz w:val="16"/>
                <w:szCs w:val="16"/>
              </w:rPr>
              <w:t>sexual y</w:t>
            </w:r>
            <w:r>
              <w:rPr>
                <w:rFonts w:ascii="Noto Sans" w:hAnsi="Noto Sans" w:cs="Noto Sans"/>
                <w:sz w:val="16"/>
                <w:szCs w:val="16"/>
              </w:rPr>
              <w:t xml:space="preserve"> </w:t>
            </w:r>
            <w:r w:rsidRPr="00FC01BF">
              <w:rPr>
                <w:rFonts w:ascii="Noto Sans" w:hAnsi="Noto Sans" w:cs="Noto Sans"/>
                <w:sz w:val="16"/>
                <w:szCs w:val="16"/>
              </w:rPr>
              <w:t>reproductiva;</w:t>
            </w:r>
            <w:r>
              <w:rPr>
                <w:rFonts w:ascii="Noto Sans" w:hAnsi="Noto Sans" w:cs="Noto Sans"/>
                <w:sz w:val="16"/>
                <w:szCs w:val="16"/>
              </w:rPr>
              <w:t xml:space="preserve"> </w:t>
            </w:r>
            <w:r w:rsidRPr="00FC01BF">
              <w:rPr>
                <w:rFonts w:ascii="Noto Sans" w:hAnsi="Noto Sans" w:cs="Noto Sans"/>
                <w:sz w:val="16"/>
                <w:szCs w:val="16"/>
              </w:rPr>
              <w:t>así</w:t>
            </w:r>
            <w:r>
              <w:rPr>
                <w:rFonts w:ascii="Noto Sans" w:hAnsi="Noto Sans" w:cs="Noto Sans"/>
                <w:sz w:val="16"/>
                <w:szCs w:val="16"/>
              </w:rPr>
              <w:t xml:space="preserve"> </w:t>
            </w:r>
            <w:r w:rsidRPr="00FC01BF">
              <w:rPr>
                <w:rFonts w:ascii="Noto Sans" w:hAnsi="Noto Sans" w:cs="Noto Sans"/>
                <w:sz w:val="16"/>
                <w:szCs w:val="16"/>
              </w:rPr>
              <w:t>como</w:t>
            </w:r>
            <w:r>
              <w:rPr>
                <w:rFonts w:ascii="Noto Sans" w:hAnsi="Noto Sans" w:cs="Noto Sans"/>
                <w:sz w:val="16"/>
                <w:szCs w:val="16"/>
              </w:rPr>
              <w:t xml:space="preserve"> </w:t>
            </w:r>
            <w:r w:rsidRPr="00FC01BF">
              <w:rPr>
                <w:rFonts w:ascii="Noto Sans" w:hAnsi="Noto Sans" w:cs="Noto Sans"/>
                <w:sz w:val="16"/>
                <w:szCs w:val="16"/>
              </w:rPr>
              <w:t>acciones</w:t>
            </w:r>
            <w:r>
              <w:rPr>
                <w:rFonts w:ascii="Noto Sans" w:hAnsi="Noto Sans" w:cs="Noto Sans"/>
                <w:sz w:val="16"/>
                <w:szCs w:val="16"/>
              </w:rPr>
              <w:t xml:space="preserve"> </w:t>
            </w:r>
            <w:r w:rsidRPr="00FC01BF">
              <w:rPr>
                <w:rFonts w:ascii="Noto Sans" w:hAnsi="Noto Sans" w:cs="Noto Sans"/>
                <w:sz w:val="16"/>
                <w:szCs w:val="16"/>
              </w:rPr>
              <w:t>de</w:t>
            </w:r>
            <w:r>
              <w:rPr>
                <w:rFonts w:ascii="Noto Sans" w:hAnsi="Noto Sans" w:cs="Noto Sans"/>
                <w:sz w:val="16"/>
                <w:szCs w:val="16"/>
              </w:rPr>
              <w:t xml:space="preserve"> </w:t>
            </w:r>
            <w:r w:rsidRPr="00FC01BF">
              <w:rPr>
                <w:rFonts w:ascii="Noto Sans" w:hAnsi="Noto Sans" w:cs="Noto Sans"/>
                <w:sz w:val="16"/>
                <w:szCs w:val="16"/>
              </w:rPr>
              <w:t>promoción:</w:t>
            </w:r>
            <w:r>
              <w:rPr>
                <w:rFonts w:ascii="Noto Sans" w:hAnsi="Noto Sans" w:cs="Noto Sans"/>
                <w:sz w:val="16"/>
                <w:szCs w:val="16"/>
              </w:rPr>
              <w:t xml:space="preserve"> </w:t>
            </w:r>
            <w:r w:rsidRPr="00FC01BF">
              <w:rPr>
                <w:rFonts w:ascii="Noto Sans" w:hAnsi="Noto Sans" w:cs="Noto Sans"/>
                <w:sz w:val="16"/>
                <w:szCs w:val="16"/>
              </w:rPr>
              <w:t>educación</w:t>
            </w:r>
            <w:r>
              <w:rPr>
                <w:rFonts w:ascii="Noto Sans" w:hAnsi="Noto Sans" w:cs="Noto Sans"/>
                <w:sz w:val="16"/>
                <w:szCs w:val="16"/>
              </w:rPr>
              <w:t xml:space="preserve"> </w:t>
            </w:r>
            <w:r w:rsidRPr="00FC01BF">
              <w:rPr>
                <w:rFonts w:ascii="Noto Sans" w:hAnsi="Noto Sans" w:cs="Noto Sans"/>
                <w:sz w:val="16"/>
                <w:szCs w:val="16"/>
              </w:rPr>
              <w:t>para</w:t>
            </w:r>
            <w:r>
              <w:rPr>
                <w:rFonts w:ascii="Noto Sans" w:hAnsi="Noto Sans" w:cs="Noto Sans"/>
                <w:sz w:val="16"/>
                <w:szCs w:val="16"/>
              </w:rPr>
              <w:t xml:space="preserve"> </w:t>
            </w:r>
            <w:r w:rsidRPr="00FC01BF">
              <w:rPr>
                <w:rFonts w:ascii="Noto Sans" w:hAnsi="Noto Sans" w:cs="Noto Sans"/>
                <w:sz w:val="16"/>
                <w:szCs w:val="16"/>
              </w:rPr>
              <w:t>el cuidado</w:t>
            </w:r>
            <w:r>
              <w:rPr>
                <w:rFonts w:ascii="Noto Sans" w:hAnsi="Noto Sans" w:cs="Noto Sans"/>
                <w:sz w:val="16"/>
                <w:szCs w:val="16"/>
              </w:rPr>
              <w:t xml:space="preserve"> </w:t>
            </w:r>
            <w:r w:rsidRPr="00FC01BF">
              <w:rPr>
                <w:rFonts w:ascii="Noto Sans" w:hAnsi="Noto Sans" w:cs="Noto Sans"/>
                <w:sz w:val="16"/>
                <w:szCs w:val="16"/>
              </w:rPr>
              <w:t>de la salud,</w:t>
            </w:r>
            <w:r>
              <w:rPr>
                <w:rFonts w:ascii="Noto Sans" w:hAnsi="Noto Sans" w:cs="Noto Sans"/>
                <w:sz w:val="16"/>
                <w:szCs w:val="16"/>
              </w:rPr>
              <w:t xml:space="preserve"> </w:t>
            </w:r>
            <w:r w:rsidRPr="00FC01BF">
              <w:rPr>
                <w:rFonts w:ascii="Noto Sans" w:hAnsi="Noto Sans" w:cs="Noto Sans"/>
                <w:sz w:val="16"/>
                <w:szCs w:val="16"/>
              </w:rPr>
              <w:t>actividad</w:t>
            </w:r>
            <w:r>
              <w:rPr>
                <w:rFonts w:ascii="Noto Sans" w:hAnsi="Noto Sans" w:cs="Noto Sans"/>
                <w:sz w:val="16"/>
                <w:szCs w:val="16"/>
              </w:rPr>
              <w:t xml:space="preserve"> </w:t>
            </w:r>
            <w:r w:rsidRPr="00FC01BF">
              <w:rPr>
                <w:rFonts w:ascii="Noto Sans" w:hAnsi="Noto Sans" w:cs="Noto Sans"/>
                <w:sz w:val="16"/>
                <w:szCs w:val="16"/>
              </w:rPr>
              <w:t>física</w:t>
            </w:r>
            <w:r>
              <w:rPr>
                <w:rFonts w:ascii="Noto Sans" w:hAnsi="Noto Sans" w:cs="Noto Sans"/>
                <w:sz w:val="16"/>
                <w:szCs w:val="16"/>
              </w:rPr>
              <w:t xml:space="preserve"> </w:t>
            </w:r>
            <w:r w:rsidRPr="00FC01BF">
              <w:rPr>
                <w:rFonts w:ascii="Noto Sans" w:hAnsi="Noto Sans" w:cs="Noto Sans"/>
                <w:sz w:val="16"/>
                <w:szCs w:val="16"/>
              </w:rPr>
              <w:t>,asesorías</w:t>
            </w:r>
            <w:r>
              <w:rPr>
                <w:rFonts w:ascii="Noto Sans" w:hAnsi="Noto Sans" w:cs="Noto Sans"/>
                <w:sz w:val="16"/>
                <w:szCs w:val="16"/>
              </w:rPr>
              <w:t xml:space="preserve"> </w:t>
            </w:r>
            <w:r w:rsidRPr="00FC01BF">
              <w:rPr>
                <w:rFonts w:ascii="Noto Sans" w:hAnsi="Noto Sans" w:cs="Noto Sans"/>
                <w:sz w:val="16"/>
                <w:szCs w:val="16"/>
              </w:rPr>
              <w:t>en</w:t>
            </w:r>
            <w:r>
              <w:rPr>
                <w:rFonts w:ascii="Noto Sans" w:hAnsi="Noto Sans" w:cs="Noto Sans"/>
                <w:sz w:val="16"/>
                <w:szCs w:val="16"/>
              </w:rPr>
              <w:t xml:space="preserve"> </w:t>
            </w:r>
            <w:r w:rsidRPr="00FC01BF">
              <w:rPr>
                <w:rFonts w:ascii="Noto Sans" w:hAnsi="Noto Sans" w:cs="Noto Sans"/>
                <w:sz w:val="16"/>
                <w:szCs w:val="16"/>
              </w:rPr>
              <w:t>salud</w:t>
            </w:r>
            <w:r>
              <w:rPr>
                <w:rFonts w:ascii="Noto Sans" w:hAnsi="Noto Sans" w:cs="Noto Sans"/>
                <w:sz w:val="16"/>
                <w:szCs w:val="16"/>
              </w:rPr>
              <w:t xml:space="preserve"> </w:t>
            </w:r>
            <w:r w:rsidRPr="00FC01BF">
              <w:rPr>
                <w:rFonts w:ascii="Noto Sans" w:hAnsi="Noto Sans" w:cs="Noto Sans"/>
                <w:sz w:val="16"/>
                <w:szCs w:val="16"/>
              </w:rPr>
              <w:t>bucal y</w:t>
            </w:r>
            <w:r>
              <w:rPr>
                <w:rFonts w:ascii="Noto Sans" w:hAnsi="Noto Sans" w:cs="Noto Sans"/>
                <w:sz w:val="16"/>
                <w:szCs w:val="16"/>
              </w:rPr>
              <w:t xml:space="preserve"> </w:t>
            </w:r>
            <w:r w:rsidRPr="00FC01BF">
              <w:rPr>
                <w:rFonts w:ascii="Noto Sans" w:hAnsi="Noto Sans" w:cs="Noto Sans"/>
                <w:sz w:val="16"/>
                <w:szCs w:val="16"/>
              </w:rPr>
              <w:t>reproductiva;</w:t>
            </w:r>
            <w:r>
              <w:rPr>
                <w:rFonts w:ascii="Noto Sans" w:hAnsi="Noto Sans" w:cs="Noto Sans"/>
                <w:sz w:val="16"/>
                <w:szCs w:val="16"/>
              </w:rPr>
              <w:t xml:space="preserve"> </w:t>
            </w:r>
            <w:r w:rsidRPr="00FC01BF">
              <w:rPr>
                <w:rFonts w:ascii="Noto Sans" w:hAnsi="Noto Sans" w:cs="Noto Sans"/>
                <w:sz w:val="16"/>
                <w:szCs w:val="16"/>
              </w:rPr>
              <w:t>prevención</w:t>
            </w:r>
            <w:r>
              <w:rPr>
                <w:rFonts w:ascii="Noto Sans" w:hAnsi="Noto Sans" w:cs="Noto Sans"/>
                <w:sz w:val="16"/>
                <w:szCs w:val="16"/>
              </w:rPr>
              <w:t xml:space="preserve"> </w:t>
            </w:r>
            <w:r w:rsidRPr="00FC01BF">
              <w:rPr>
                <w:rFonts w:ascii="Noto Sans" w:hAnsi="Noto Sans" w:cs="Noto Sans"/>
                <w:sz w:val="16"/>
                <w:szCs w:val="16"/>
              </w:rPr>
              <w:t>de</w:t>
            </w:r>
            <w:r>
              <w:rPr>
                <w:rFonts w:ascii="Noto Sans" w:hAnsi="Noto Sans" w:cs="Noto Sans"/>
                <w:sz w:val="16"/>
                <w:szCs w:val="16"/>
              </w:rPr>
              <w:t xml:space="preserve"> </w:t>
            </w:r>
            <w:r w:rsidRPr="00FC01BF">
              <w:rPr>
                <w:rFonts w:ascii="Noto Sans" w:hAnsi="Noto Sans" w:cs="Noto Sans"/>
                <w:sz w:val="16"/>
                <w:szCs w:val="16"/>
              </w:rPr>
              <w:t>adicciones,</w:t>
            </w:r>
            <w:r>
              <w:rPr>
                <w:rFonts w:ascii="Noto Sans" w:hAnsi="Noto Sans" w:cs="Noto Sans"/>
                <w:sz w:val="16"/>
                <w:szCs w:val="16"/>
              </w:rPr>
              <w:t xml:space="preserve"> </w:t>
            </w:r>
            <w:r w:rsidRPr="00FC01BF">
              <w:rPr>
                <w:rFonts w:ascii="Noto Sans" w:hAnsi="Noto Sans" w:cs="Noto Sans"/>
                <w:sz w:val="16"/>
                <w:szCs w:val="16"/>
              </w:rPr>
              <w:t>accidentes</w:t>
            </w:r>
            <w:r>
              <w:rPr>
                <w:rFonts w:ascii="Noto Sans" w:hAnsi="Noto Sans" w:cs="Noto Sans"/>
                <w:sz w:val="16"/>
                <w:szCs w:val="16"/>
              </w:rPr>
              <w:t xml:space="preserve"> </w:t>
            </w:r>
            <w:r w:rsidRPr="00FC01BF">
              <w:rPr>
                <w:rFonts w:ascii="Noto Sans" w:hAnsi="Noto Sans" w:cs="Noto Sans"/>
                <w:sz w:val="16"/>
                <w:szCs w:val="16"/>
              </w:rPr>
              <w:t>y</w:t>
            </w:r>
            <w:r>
              <w:rPr>
                <w:rFonts w:ascii="Noto Sans" w:hAnsi="Noto Sans" w:cs="Noto Sans"/>
                <w:sz w:val="16"/>
                <w:szCs w:val="16"/>
              </w:rPr>
              <w:t xml:space="preserve"> </w:t>
            </w:r>
            <w:r w:rsidRPr="00FC01BF">
              <w:rPr>
                <w:rFonts w:ascii="Noto Sans" w:hAnsi="Noto Sans" w:cs="Noto Sans"/>
                <w:sz w:val="16"/>
                <w:szCs w:val="16"/>
              </w:rPr>
              <w:t>violencia; cultura</w:t>
            </w:r>
            <w:r>
              <w:rPr>
                <w:rFonts w:ascii="Noto Sans" w:hAnsi="Noto Sans" w:cs="Noto Sans"/>
                <w:sz w:val="16"/>
                <w:szCs w:val="16"/>
              </w:rPr>
              <w:t xml:space="preserve"> </w:t>
            </w:r>
            <w:r w:rsidRPr="00FC01BF">
              <w:rPr>
                <w:rFonts w:ascii="Noto Sans" w:hAnsi="Noto Sans" w:cs="Noto Sans"/>
                <w:sz w:val="16"/>
                <w:szCs w:val="16"/>
              </w:rPr>
              <w:t>de la</w:t>
            </w:r>
            <w:r>
              <w:rPr>
                <w:rFonts w:ascii="Noto Sans" w:hAnsi="Noto Sans" w:cs="Noto Sans"/>
                <w:sz w:val="16"/>
                <w:szCs w:val="16"/>
              </w:rPr>
              <w:t xml:space="preserve"> </w:t>
            </w:r>
            <w:r w:rsidRPr="00FC01BF">
              <w:rPr>
                <w:rFonts w:ascii="Noto Sans" w:hAnsi="Noto Sans" w:cs="Noto Sans"/>
                <w:sz w:val="16"/>
                <w:szCs w:val="16"/>
              </w:rPr>
              <w:t>donación</w:t>
            </w:r>
            <w:r>
              <w:rPr>
                <w:rFonts w:ascii="Noto Sans" w:hAnsi="Noto Sans" w:cs="Noto Sans"/>
                <w:sz w:val="16"/>
                <w:szCs w:val="16"/>
              </w:rPr>
              <w:t xml:space="preserve"> </w:t>
            </w:r>
            <w:r w:rsidRPr="00FC01BF">
              <w:rPr>
                <w:rFonts w:ascii="Noto Sans" w:hAnsi="Noto Sans" w:cs="Noto Sans"/>
                <w:sz w:val="16"/>
                <w:szCs w:val="16"/>
              </w:rPr>
              <w:t>e informativas</w:t>
            </w:r>
            <w:r>
              <w:rPr>
                <w:rFonts w:ascii="Noto Sans" w:hAnsi="Noto Sans" w:cs="Noto Sans"/>
                <w:sz w:val="16"/>
                <w:szCs w:val="16"/>
              </w:rPr>
              <w:t xml:space="preserve"> </w:t>
            </w:r>
            <w:r w:rsidRPr="00FC01BF">
              <w:rPr>
                <w:rFonts w:ascii="Noto Sans" w:hAnsi="Noto Sans" w:cs="Noto Sans"/>
                <w:sz w:val="16"/>
                <w:szCs w:val="16"/>
              </w:rPr>
              <w:t>sobre enfermedades</w:t>
            </w:r>
          </w:p>
        </w:tc>
      </w:tr>
      <w:tr w:rsidR="00C44463" w:rsidRPr="00CE30CE" w:rsidTr="008B53DB">
        <w:trPr>
          <w:trHeight w:val="286"/>
          <w:jc w:val="center"/>
        </w:trPr>
        <w:tc>
          <w:tcPr>
            <w:tcW w:w="2081" w:type="dxa"/>
            <w:vAlign w:val="center"/>
          </w:tcPr>
          <w:p w:rsidR="00C44463" w:rsidRPr="00CE30CE" w:rsidRDefault="00C44463" w:rsidP="00EE429C">
            <w:pPr>
              <w:spacing w:line="276" w:lineRule="auto"/>
              <w:jc w:val="both"/>
              <w:rPr>
                <w:rFonts w:ascii="Noto Sans" w:hAnsi="Noto Sans" w:cs="Noto Sans"/>
                <w:sz w:val="16"/>
                <w:szCs w:val="16"/>
              </w:rPr>
            </w:pPr>
            <w:r w:rsidRPr="00CE30CE">
              <w:rPr>
                <w:rFonts w:ascii="Noto Sans" w:hAnsi="Noto Sans" w:cs="Noto Sans"/>
                <w:sz w:val="16"/>
                <w:szCs w:val="16"/>
              </w:rPr>
              <w:t>Entidades no sectorizadas</w:t>
            </w:r>
          </w:p>
        </w:tc>
        <w:tc>
          <w:tcPr>
            <w:tcW w:w="1170" w:type="dxa"/>
            <w:vAlign w:val="center"/>
          </w:tcPr>
          <w:p w:rsidR="00C44463" w:rsidRPr="00CE30CE" w:rsidRDefault="00C44463" w:rsidP="00CE30CE">
            <w:pPr>
              <w:spacing w:line="276" w:lineRule="auto"/>
              <w:jc w:val="center"/>
              <w:rPr>
                <w:rFonts w:ascii="Noto Sans" w:hAnsi="Noto Sans" w:cs="Noto Sans"/>
                <w:sz w:val="16"/>
                <w:szCs w:val="16"/>
              </w:rPr>
            </w:pPr>
            <w:r w:rsidRPr="00CE30CE">
              <w:rPr>
                <w:rFonts w:ascii="Noto Sans" w:hAnsi="Noto Sans" w:cs="Noto Sans"/>
                <w:sz w:val="16"/>
                <w:szCs w:val="16"/>
              </w:rPr>
              <w:t>E003</w:t>
            </w:r>
          </w:p>
        </w:tc>
        <w:tc>
          <w:tcPr>
            <w:tcW w:w="2414" w:type="dxa"/>
            <w:vAlign w:val="center"/>
          </w:tcPr>
          <w:p w:rsidR="00C44463" w:rsidRPr="00CE30CE" w:rsidRDefault="00C44463" w:rsidP="00EE429C">
            <w:pPr>
              <w:spacing w:line="276" w:lineRule="auto"/>
              <w:rPr>
                <w:rFonts w:ascii="Noto Sans" w:hAnsi="Noto Sans" w:cs="Noto Sans"/>
                <w:sz w:val="16"/>
                <w:szCs w:val="16"/>
              </w:rPr>
            </w:pPr>
            <w:r w:rsidRPr="00CE30CE">
              <w:rPr>
                <w:rFonts w:ascii="Noto Sans" w:hAnsi="Noto Sans" w:cs="Noto Sans"/>
                <w:sz w:val="16"/>
                <w:szCs w:val="16"/>
              </w:rPr>
              <w:t>Atención a la salud en Centros y Hospitles Regionales de Alta Especialidad</w:t>
            </w:r>
          </w:p>
        </w:tc>
        <w:tc>
          <w:tcPr>
            <w:tcW w:w="1560" w:type="dxa"/>
            <w:vAlign w:val="center"/>
          </w:tcPr>
          <w:p w:rsidR="00C44463" w:rsidRPr="00CE30CE" w:rsidRDefault="00C44463" w:rsidP="00CE30CE">
            <w:pPr>
              <w:spacing w:line="276" w:lineRule="auto"/>
              <w:jc w:val="center"/>
              <w:rPr>
                <w:rFonts w:ascii="Noto Sans" w:hAnsi="Noto Sans" w:cs="Noto Sans"/>
                <w:sz w:val="16"/>
                <w:szCs w:val="16"/>
              </w:rPr>
            </w:pPr>
            <w:r w:rsidRPr="00CE30CE">
              <w:rPr>
                <w:rFonts w:ascii="Noto Sans" w:hAnsi="Noto Sans" w:cs="Noto Sans"/>
                <w:sz w:val="16"/>
                <w:szCs w:val="16"/>
              </w:rPr>
              <w:t>Similitud</w:t>
            </w:r>
          </w:p>
        </w:tc>
        <w:tc>
          <w:tcPr>
            <w:tcW w:w="4582" w:type="dxa"/>
          </w:tcPr>
          <w:p w:rsidR="00C44463" w:rsidRPr="00CE30CE" w:rsidRDefault="00DE1626" w:rsidP="00CE30CE">
            <w:pPr>
              <w:spacing w:line="276" w:lineRule="auto"/>
              <w:jc w:val="center"/>
              <w:rPr>
                <w:rFonts w:ascii="Noto Sans" w:hAnsi="Noto Sans" w:cs="Noto Sans"/>
                <w:sz w:val="16"/>
                <w:szCs w:val="16"/>
              </w:rPr>
            </w:pPr>
            <w:r w:rsidRPr="00DE1626">
              <w:rPr>
                <w:rFonts w:ascii="Noto Sans" w:hAnsi="Noto Sans" w:cs="Noto Sans"/>
                <w:sz w:val="16"/>
                <w:szCs w:val="16"/>
              </w:rPr>
              <w:t>El objetivo del programa presupuestario es contribuir al bienestar social e igualdad mediante el otorgamiento de los servicios de Salud en el Trabajo a los trabajadores asegurados al IMSS para mantener su nivel de vida, esto a través de</w:t>
            </w:r>
            <w:r>
              <w:rPr>
                <w:rFonts w:ascii="Noto Sans" w:hAnsi="Noto Sans" w:cs="Noto Sans"/>
                <w:sz w:val="16"/>
                <w:szCs w:val="16"/>
              </w:rPr>
              <w:t xml:space="preserve"> </w:t>
            </w:r>
            <w:r w:rsidRPr="00DE1626">
              <w:rPr>
                <w:rFonts w:ascii="Noto Sans" w:hAnsi="Noto Sans" w:cs="Noto Sans"/>
                <w:sz w:val="16"/>
                <w:szCs w:val="16"/>
              </w:rPr>
              <w:t>que los trabajadores asegurados tengan sus derechos (atención y prevención) protegidos en materia de Salud en el Trabajo (promoción a la salud, prevención y atención de los riesgos de trabajo, determinación del estado de invalidez y reincorporación laboral).</w:t>
            </w:r>
          </w:p>
        </w:tc>
      </w:tr>
    </w:tbl>
    <w:p w:rsidR="007B7964" w:rsidRDefault="007B7964">
      <w:pPr>
        <w:spacing w:after="160" w:line="259" w:lineRule="auto"/>
        <w:rPr>
          <w:rFonts w:ascii="Noto Sans" w:hAnsi="Noto Sans" w:cs="Noto Sans"/>
          <w:sz w:val="20"/>
          <w:szCs w:val="22"/>
        </w:rPr>
      </w:pPr>
      <w:r>
        <w:rPr>
          <w:rFonts w:ascii="Noto Sans" w:hAnsi="Noto Sans" w:cs="Noto Sans"/>
          <w:sz w:val="20"/>
          <w:szCs w:val="22"/>
        </w:rPr>
        <w:br w:type="page"/>
      </w:r>
    </w:p>
    <w:p w:rsidR="00F868FB" w:rsidRDefault="00F868FB" w:rsidP="005E6276">
      <w:pPr>
        <w:pStyle w:val="Ttulo1"/>
        <w:numPr>
          <w:ilvl w:val="0"/>
          <w:numId w:val="1"/>
        </w:numPr>
        <w:spacing w:before="120" w:after="120" w:line="276" w:lineRule="auto"/>
        <w:rPr>
          <w:rFonts w:ascii="Noto Sans" w:hAnsi="Noto Sans" w:cs="Noto Sans"/>
          <w:b/>
          <w:color w:val="1E5B4F"/>
          <w:sz w:val="22"/>
          <w:szCs w:val="22"/>
        </w:rPr>
        <w:sectPr w:rsidR="00F868FB" w:rsidSect="002324F1">
          <w:headerReference w:type="default" r:id="rId27"/>
          <w:type w:val="continuous"/>
          <w:pgSz w:w="12240" w:h="15840"/>
          <w:pgMar w:top="2126" w:right="1701" w:bottom="1134" w:left="1701" w:header="709" w:footer="709" w:gutter="0"/>
          <w:cols w:space="708"/>
          <w:docGrid w:linePitch="360"/>
        </w:sectPr>
      </w:pPr>
      <w:bookmarkStart w:id="22" w:name="_Toc201830239"/>
    </w:p>
    <w:p w:rsidR="006441FB" w:rsidRPr="006D3994" w:rsidRDefault="00926F00" w:rsidP="005E6276">
      <w:pPr>
        <w:pStyle w:val="Ttulo1"/>
        <w:numPr>
          <w:ilvl w:val="0"/>
          <w:numId w:val="1"/>
        </w:numPr>
        <w:spacing w:before="120" w:after="120" w:line="276" w:lineRule="auto"/>
        <w:rPr>
          <w:rFonts w:ascii="Noto Sans" w:hAnsi="Noto Sans" w:cs="Noto Sans"/>
          <w:b/>
          <w:color w:val="1E5B4F"/>
          <w:sz w:val="22"/>
          <w:szCs w:val="22"/>
        </w:rPr>
      </w:pPr>
      <w:r w:rsidRPr="00284F17">
        <w:rPr>
          <w:rFonts w:ascii="Noto Sans" w:hAnsi="Noto Sans" w:cs="Noto Sans"/>
          <w:b/>
          <w:color w:val="1E5B4F"/>
          <w:sz w:val="22"/>
          <w:szCs w:val="22"/>
        </w:rPr>
        <w:lastRenderedPageBreak/>
        <w:t>Instrumento de Seguimiento del Desempeño</w:t>
      </w:r>
      <w:bookmarkEnd w:id="22"/>
    </w:p>
    <w:tbl>
      <w:tblPr>
        <w:tblW w:w="13747" w:type="dxa"/>
        <w:tblCellMar>
          <w:left w:w="0" w:type="dxa"/>
          <w:right w:w="0" w:type="dxa"/>
        </w:tblCellMar>
        <w:tblLook w:val="0420" w:firstRow="1" w:lastRow="0" w:firstColumn="0" w:lastColumn="0" w:noHBand="0" w:noVBand="1"/>
      </w:tblPr>
      <w:tblGrid>
        <w:gridCol w:w="1410"/>
        <w:gridCol w:w="2847"/>
        <w:gridCol w:w="3278"/>
        <w:gridCol w:w="3230"/>
        <w:gridCol w:w="2982"/>
      </w:tblGrid>
      <w:tr w:rsidR="00493E97" w:rsidRPr="00C02CE4" w:rsidTr="00C02CE4">
        <w:trPr>
          <w:trHeight w:val="19"/>
          <w:tblHeader/>
        </w:trPr>
        <w:tc>
          <w:tcPr>
            <w:tcW w:w="1410" w:type="dxa"/>
            <w:tcBorders>
              <w:top w:val="single" w:sz="8" w:space="0" w:color="FFFFFF"/>
              <w:left w:val="single" w:sz="8" w:space="0" w:color="FFFFFF"/>
              <w:bottom w:val="single" w:sz="24" w:space="0" w:color="FFFFFF"/>
              <w:right w:val="single" w:sz="8" w:space="0" w:color="FFFFFF"/>
            </w:tcBorders>
            <w:shd w:val="clear" w:color="auto" w:fill="auto"/>
            <w:tcMar>
              <w:top w:w="72" w:type="dxa"/>
              <w:left w:w="144" w:type="dxa"/>
              <w:bottom w:w="72" w:type="dxa"/>
              <w:right w:w="144" w:type="dxa"/>
            </w:tcMar>
            <w:vAlign w:val="center"/>
            <w:hideMark/>
          </w:tcPr>
          <w:p w:rsidR="00E2709D" w:rsidRPr="00C02CE4" w:rsidRDefault="00E2709D" w:rsidP="006F7F21">
            <w:pPr>
              <w:spacing w:before="120" w:after="120" w:line="276" w:lineRule="auto"/>
              <w:jc w:val="center"/>
              <w:rPr>
                <w:rFonts w:ascii="Noto Sans" w:hAnsi="Noto Sans" w:cs="Noto Sans"/>
                <w:sz w:val="16"/>
                <w:szCs w:val="16"/>
              </w:rPr>
            </w:pPr>
          </w:p>
        </w:tc>
        <w:tc>
          <w:tcPr>
            <w:tcW w:w="2847" w:type="dxa"/>
            <w:tcBorders>
              <w:top w:val="single" w:sz="8" w:space="0" w:color="FFFFFF"/>
              <w:left w:val="single" w:sz="8" w:space="0" w:color="FFFFFF"/>
              <w:bottom w:val="single" w:sz="24" w:space="0" w:color="FFFFFF"/>
              <w:right w:val="single" w:sz="8" w:space="0" w:color="FFFFFF"/>
            </w:tcBorders>
            <w:shd w:val="clear" w:color="auto" w:fill="000000" w:themeFill="text1"/>
            <w:tcMar>
              <w:top w:w="72" w:type="dxa"/>
              <w:left w:w="144" w:type="dxa"/>
              <w:bottom w:w="72" w:type="dxa"/>
              <w:right w:w="144" w:type="dxa"/>
            </w:tcMar>
            <w:vAlign w:val="center"/>
            <w:hideMark/>
          </w:tcPr>
          <w:p w:rsidR="00E2709D" w:rsidRPr="00C02CE4" w:rsidRDefault="00E2709D" w:rsidP="00C02CE4">
            <w:pPr>
              <w:jc w:val="both"/>
              <w:rPr>
                <w:rFonts w:ascii="Noto Sans" w:hAnsi="Noto Sans" w:cs="Noto Sans"/>
                <w:sz w:val="16"/>
                <w:szCs w:val="16"/>
              </w:rPr>
            </w:pPr>
            <w:r w:rsidRPr="00C02CE4">
              <w:rPr>
                <w:rFonts w:ascii="Noto Sans" w:hAnsi="Noto Sans" w:cs="Noto Sans"/>
                <w:b/>
                <w:bCs/>
                <w:sz w:val="16"/>
                <w:szCs w:val="16"/>
              </w:rPr>
              <w:t>Resumen narrativo</w:t>
            </w:r>
          </w:p>
        </w:tc>
        <w:tc>
          <w:tcPr>
            <w:tcW w:w="3278" w:type="dxa"/>
            <w:tcBorders>
              <w:top w:val="single" w:sz="8" w:space="0" w:color="FFFFFF"/>
              <w:left w:val="single" w:sz="8" w:space="0" w:color="FFFFFF"/>
              <w:bottom w:val="single" w:sz="24" w:space="0" w:color="FFFFFF"/>
              <w:right w:val="single" w:sz="8" w:space="0" w:color="FFFFFF"/>
            </w:tcBorders>
            <w:shd w:val="clear" w:color="auto" w:fill="000000" w:themeFill="text1"/>
            <w:tcMar>
              <w:top w:w="72" w:type="dxa"/>
              <w:left w:w="144" w:type="dxa"/>
              <w:bottom w:w="72" w:type="dxa"/>
              <w:right w:w="144" w:type="dxa"/>
            </w:tcMar>
            <w:vAlign w:val="center"/>
            <w:hideMark/>
          </w:tcPr>
          <w:p w:rsidR="00E2709D" w:rsidRPr="00C02CE4" w:rsidRDefault="00E2709D" w:rsidP="00C02CE4">
            <w:pPr>
              <w:jc w:val="both"/>
              <w:rPr>
                <w:rFonts w:ascii="Noto Sans" w:hAnsi="Noto Sans" w:cs="Noto Sans"/>
                <w:sz w:val="16"/>
                <w:szCs w:val="16"/>
              </w:rPr>
            </w:pPr>
            <w:r w:rsidRPr="00C02CE4">
              <w:rPr>
                <w:rFonts w:ascii="Noto Sans" w:hAnsi="Noto Sans" w:cs="Noto Sans"/>
                <w:b/>
                <w:bCs/>
                <w:sz w:val="16"/>
                <w:szCs w:val="16"/>
              </w:rPr>
              <w:t>Indicadores</w:t>
            </w:r>
          </w:p>
        </w:tc>
        <w:tc>
          <w:tcPr>
            <w:tcW w:w="3230" w:type="dxa"/>
            <w:tcBorders>
              <w:top w:val="single" w:sz="8" w:space="0" w:color="FFFFFF"/>
              <w:left w:val="single" w:sz="8" w:space="0" w:color="FFFFFF"/>
              <w:bottom w:val="single" w:sz="24" w:space="0" w:color="FFFFFF"/>
              <w:right w:val="single" w:sz="8" w:space="0" w:color="FFFFFF"/>
            </w:tcBorders>
            <w:shd w:val="clear" w:color="auto" w:fill="000000" w:themeFill="text1"/>
            <w:tcMar>
              <w:top w:w="72" w:type="dxa"/>
              <w:left w:w="144" w:type="dxa"/>
              <w:bottom w:w="72" w:type="dxa"/>
              <w:right w:w="144" w:type="dxa"/>
            </w:tcMar>
            <w:vAlign w:val="center"/>
            <w:hideMark/>
          </w:tcPr>
          <w:p w:rsidR="00E2709D" w:rsidRPr="00C02CE4" w:rsidRDefault="00E2709D" w:rsidP="00C02CE4">
            <w:pPr>
              <w:jc w:val="both"/>
              <w:rPr>
                <w:rFonts w:ascii="Noto Sans" w:hAnsi="Noto Sans" w:cs="Noto Sans"/>
                <w:sz w:val="16"/>
                <w:szCs w:val="16"/>
              </w:rPr>
            </w:pPr>
            <w:r w:rsidRPr="00C02CE4">
              <w:rPr>
                <w:rFonts w:ascii="Noto Sans" w:hAnsi="Noto Sans" w:cs="Noto Sans"/>
                <w:b/>
                <w:bCs/>
                <w:sz w:val="16"/>
                <w:szCs w:val="16"/>
              </w:rPr>
              <w:t>Medios de verificación</w:t>
            </w:r>
          </w:p>
        </w:tc>
        <w:tc>
          <w:tcPr>
            <w:tcW w:w="2982" w:type="dxa"/>
            <w:tcBorders>
              <w:top w:val="single" w:sz="8" w:space="0" w:color="FFFFFF"/>
              <w:left w:val="single" w:sz="8" w:space="0" w:color="FFFFFF"/>
              <w:bottom w:val="single" w:sz="24" w:space="0" w:color="FFFFFF"/>
              <w:right w:val="single" w:sz="8" w:space="0" w:color="FFFFFF"/>
            </w:tcBorders>
            <w:shd w:val="clear" w:color="auto" w:fill="000000" w:themeFill="text1"/>
            <w:tcMar>
              <w:top w:w="72" w:type="dxa"/>
              <w:left w:w="144" w:type="dxa"/>
              <w:bottom w:w="72" w:type="dxa"/>
              <w:right w:w="144" w:type="dxa"/>
            </w:tcMar>
            <w:vAlign w:val="center"/>
            <w:hideMark/>
          </w:tcPr>
          <w:p w:rsidR="00E2709D" w:rsidRPr="00C02CE4" w:rsidRDefault="00E2709D" w:rsidP="00C02CE4">
            <w:pPr>
              <w:jc w:val="both"/>
              <w:rPr>
                <w:rFonts w:ascii="Noto Sans" w:hAnsi="Noto Sans" w:cs="Noto Sans"/>
                <w:sz w:val="16"/>
                <w:szCs w:val="16"/>
              </w:rPr>
            </w:pPr>
            <w:r w:rsidRPr="00C02CE4">
              <w:rPr>
                <w:rFonts w:ascii="Noto Sans" w:hAnsi="Noto Sans" w:cs="Noto Sans"/>
                <w:b/>
                <w:bCs/>
                <w:sz w:val="16"/>
                <w:szCs w:val="16"/>
              </w:rPr>
              <w:t>Supuestos</w:t>
            </w:r>
          </w:p>
        </w:tc>
      </w:tr>
      <w:tr w:rsidR="00493E97" w:rsidRPr="00C02CE4" w:rsidTr="00C02CE4">
        <w:trPr>
          <w:trHeight w:val="524"/>
        </w:trPr>
        <w:tc>
          <w:tcPr>
            <w:tcW w:w="1410" w:type="dxa"/>
            <w:tcBorders>
              <w:top w:val="single" w:sz="24" w:space="0" w:color="FFFFFF"/>
              <w:left w:val="single" w:sz="8" w:space="0" w:color="FFFFFF"/>
              <w:bottom w:val="single" w:sz="8" w:space="0" w:color="FFFFFF"/>
              <w:right w:val="single" w:sz="8" w:space="0" w:color="FFFFFF"/>
            </w:tcBorders>
            <w:shd w:val="clear" w:color="auto" w:fill="1E5B4F"/>
            <w:tcMar>
              <w:top w:w="72" w:type="dxa"/>
              <w:left w:w="144" w:type="dxa"/>
              <w:bottom w:w="72" w:type="dxa"/>
              <w:right w:w="144" w:type="dxa"/>
            </w:tcMar>
            <w:vAlign w:val="center"/>
            <w:hideMark/>
          </w:tcPr>
          <w:p w:rsidR="00E2709D" w:rsidRPr="00C02CE4" w:rsidRDefault="00E2709D" w:rsidP="006F7F21">
            <w:pPr>
              <w:spacing w:before="120" w:after="120" w:line="276" w:lineRule="auto"/>
              <w:jc w:val="center"/>
              <w:rPr>
                <w:rFonts w:ascii="Noto Sans" w:hAnsi="Noto Sans" w:cs="Noto Sans"/>
                <w:color w:val="FFFFFF" w:themeColor="background1"/>
                <w:sz w:val="16"/>
                <w:szCs w:val="16"/>
              </w:rPr>
            </w:pPr>
            <w:r w:rsidRPr="00C02CE4">
              <w:rPr>
                <w:rFonts w:ascii="Noto Sans" w:hAnsi="Noto Sans" w:cs="Noto Sans"/>
                <w:b/>
                <w:bCs/>
                <w:color w:val="FFFFFF" w:themeColor="background1"/>
                <w:sz w:val="16"/>
                <w:szCs w:val="16"/>
              </w:rPr>
              <w:t>Fin</w:t>
            </w:r>
          </w:p>
        </w:tc>
        <w:tc>
          <w:tcPr>
            <w:tcW w:w="2847" w:type="dxa"/>
            <w:tcBorders>
              <w:top w:val="single" w:sz="24"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rsidR="00E2709D" w:rsidRPr="00C02CE4" w:rsidRDefault="00493E97"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t>De acuerdo a nuestro objetivo se debe buscar que la población sin seguridad social acceda efectivamente a la atención a la salud.</w:t>
            </w:r>
          </w:p>
        </w:tc>
        <w:tc>
          <w:tcPr>
            <w:tcW w:w="3278" w:type="dxa"/>
            <w:tcBorders>
              <w:top w:val="single" w:sz="24"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rsidR="00E2709D" w:rsidRPr="00C02CE4" w:rsidRDefault="00E25C6A" w:rsidP="005E6276">
            <w:pPr>
              <w:pStyle w:val="Prrafodelista"/>
              <w:numPr>
                <w:ilvl w:val="0"/>
                <w:numId w:val="7"/>
              </w:numPr>
              <w:spacing w:before="120" w:after="120" w:line="276" w:lineRule="auto"/>
              <w:jc w:val="both"/>
              <w:rPr>
                <w:rFonts w:ascii="Noto Sans" w:hAnsi="Noto Sans" w:cs="Noto Sans"/>
                <w:sz w:val="16"/>
                <w:szCs w:val="16"/>
              </w:rPr>
            </w:pPr>
            <w:r w:rsidRPr="00C02CE4">
              <w:rPr>
                <w:rFonts w:ascii="Noto Sans" w:hAnsi="Noto Sans" w:cs="Noto Sans"/>
                <w:sz w:val="16"/>
                <w:szCs w:val="16"/>
              </w:rPr>
              <w:t>Porcentaje de pacientes referidos por instituciones públicas de salud a los que se les apertura expediente clínico institucional</w:t>
            </w:r>
          </w:p>
        </w:tc>
        <w:tc>
          <w:tcPr>
            <w:tcW w:w="3230" w:type="dxa"/>
            <w:tcBorders>
              <w:top w:val="single" w:sz="24"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rsidR="00E2709D" w:rsidRPr="00C02CE4" w:rsidRDefault="00E25C6A" w:rsidP="005E6276">
            <w:pPr>
              <w:pStyle w:val="Prrafodelista"/>
              <w:numPr>
                <w:ilvl w:val="0"/>
                <w:numId w:val="8"/>
              </w:numPr>
              <w:spacing w:before="120" w:after="120" w:line="276" w:lineRule="auto"/>
              <w:jc w:val="both"/>
              <w:rPr>
                <w:rFonts w:ascii="Noto Sans" w:hAnsi="Noto Sans" w:cs="Noto Sans"/>
                <w:sz w:val="16"/>
                <w:szCs w:val="16"/>
              </w:rPr>
            </w:pPr>
            <w:r w:rsidRPr="00C02CE4">
              <w:rPr>
                <w:rFonts w:ascii="Noto Sans" w:hAnsi="Noto Sans" w:cs="Noto Sans"/>
                <w:sz w:val="16"/>
                <w:szCs w:val="16"/>
              </w:rPr>
              <w:t>(Número de pacientes que han sido referidos por instituciones públicas de salud a los cuales se les apertura expediente clínico institucional en el</w:t>
            </w:r>
            <w:r w:rsidR="009E77FF" w:rsidRPr="00C02CE4">
              <w:rPr>
                <w:rFonts w:ascii="Noto Sans" w:hAnsi="Noto Sans" w:cs="Noto Sans"/>
                <w:sz w:val="16"/>
                <w:szCs w:val="16"/>
              </w:rPr>
              <w:t xml:space="preserve"> </w:t>
            </w:r>
            <w:r w:rsidRPr="00C02CE4">
              <w:rPr>
                <w:rFonts w:ascii="Noto Sans" w:hAnsi="Noto Sans" w:cs="Noto Sans"/>
                <w:sz w:val="16"/>
                <w:szCs w:val="16"/>
              </w:rPr>
              <w:t>periodo de evaluación / Total de pacientes a los cuales se les apertura expediente clínico en el periodo de evaluación) x 100</w:t>
            </w:r>
          </w:p>
        </w:tc>
        <w:tc>
          <w:tcPr>
            <w:tcW w:w="2982" w:type="dxa"/>
            <w:tcBorders>
              <w:top w:val="single" w:sz="24"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rsidR="00E2709D" w:rsidRPr="00C02CE4" w:rsidRDefault="00306760"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t>.</w:t>
            </w:r>
            <w:r w:rsidR="00E25C6A" w:rsidRPr="00C02CE4">
              <w:rPr>
                <w:rFonts w:ascii="Noto Sans" w:hAnsi="Noto Sans" w:cs="Noto Sans"/>
                <w:sz w:val="16"/>
                <w:szCs w:val="16"/>
              </w:rPr>
              <w:t xml:space="preserve"> 1.- Condiciones macroeconómicas estables. 2.- Se cuenta con planes emergenetes para atender desastres naturales y epidemias que pongan en peligro la vida de la población. 3.- El perfil epidemiológico y demográfico de la población se mantiene o presenta cambios graduales</w:t>
            </w:r>
          </w:p>
        </w:tc>
      </w:tr>
      <w:tr w:rsidR="00493E97" w:rsidRPr="00C02CE4" w:rsidTr="00C02CE4">
        <w:trPr>
          <w:trHeight w:val="532"/>
        </w:trPr>
        <w:tc>
          <w:tcPr>
            <w:tcW w:w="1410" w:type="dxa"/>
            <w:tcBorders>
              <w:top w:val="single" w:sz="8" w:space="0" w:color="FFFFFF"/>
              <w:left w:val="single" w:sz="8" w:space="0" w:color="FFFFFF"/>
              <w:bottom w:val="single" w:sz="8" w:space="0" w:color="FFFFFF"/>
              <w:right w:val="single" w:sz="8" w:space="0" w:color="FFFFFF"/>
            </w:tcBorders>
            <w:shd w:val="clear" w:color="auto" w:fill="621333"/>
            <w:tcMar>
              <w:top w:w="72" w:type="dxa"/>
              <w:left w:w="144" w:type="dxa"/>
              <w:bottom w:w="72" w:type="dxa"/>
              <w:right w:w="144" w:type="dxa"/>
            </w:tcMar>
            <w:vAlign w:val="center"/>
            <w:hideMark/>
          </w:tcPr>
          <w:p w:rsidR="00E2709D" w:rsidRPr="00C02CE4" w:rsidRDefault="00E2709D" w:rsidP="006F7F21">
            <w:pPr>
              <w:spacing w:before="120" w:after="120" w:line="276" w:lineRule="auto"/>
              <w:jc w:val="center"/>
              <w:rPr>
                <w:rFonts w:ascii="Noto Sans" w:hAnsi="Noto Sans" w:cs="Noto Sans"/>
                <w:sz w:val="16"/>
                <w:szCs w:val="16"/>
              </w:rPr>
            </w:pPr>
            <w:r w:rsidRPr="00C02CE4">
              <w:rPr>
                <w:rFonts w:ascii="Noto Sans" w:hAnsi="Noto Sans" w:cs="Noto Sans"/>
                <w:b/>
                <w:bCs/>
                <w:sz w:val="16"/>
                <w:szCs w:val="16"/>
              </w:rPr>
              <w:t>Propósito</w:t>
            </w:r>
          </w:p>
        </w:tc>
        <w:tc>
          <w:tcPr>
            <w:tcW w:w="2847"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rsidR="001C17AD" w:rsidRPr="00C02CE4" w:rsidRDefault="0087473D"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t>Este indicador reflejará que tantos pacientes llegan a requerir una consulta de especialidad o alta especialidad</w:t>
            </w:r>
          </w:p>
        </w:tc>
        <w:tc>
          <w:tcPr>
            <w:tcW w:w="3278"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rsidR="001C17AD" w:rsidRPr="00C02CE4" w:rsidRDefault="001C17AD" w:rsidP="005E6276">
            <w:pPr>
              <w:pStyle w:val="Prrafodelista"/>
              <w:numPr>
                <w:ilvl w:val="0"/>
                <w:numId w:val="3"/>
              </w:numPr>
              <w:spacing w:before="120" w:after="120" w:line="276" w:lineRule="auto"/>
              <w:jc w:val="both"/>
              <w:rPr>
                <w:rFonts w:ascii="Noto Sans" w:hAnsi="Noto Sans" w:cs="Noto Sans"/>
                <w:sz w:val="16"/>
                <w:szCs w:val="16"/>
              </w:rPr>
            </w:pPr>
            <w:r w:rsidRPr="00C02CE4">
              <w:rPr>
                <w:rFonts w:ascii="Noto Sans" w:hAnsi="Noto Sans" w:cs="Noto Sans"/>
                <w:sz w:val="16"/>
                <w:szCs w:val="16"/>
              </w:rPr>
              <w:t xml:space="preserve">Porcentaje de pacientes sin seguridad social valorados en la consulta externa que presentan padecimientos que requiere atención de </w:t>
            </w:r>
            <w:r w:rsidR="0087473D" w:rsidRPr="00C02CE4">
              <w:rPr>
                <w:rFonts w:ascii="Noto Sans" w:hAnsi="Noto Sans" w:cs="Noto Sans"/>
                <w:sz w:val="16"/>
                <w:szCs w:val="16"/>
              </w:rPr>
              <w:t xml:space="preserve">especialidad o </w:t>
            </w:r>
            <w:r w:rsidRPr="00C02CE4">
              <w:rPr>
                <w:rFonts w:ascii="Noto Sans" w:hAnsi="Noto Sans" w:cs="Noto Sans"/>
                <w:sz w:val="16"/>
                <w:szCs w:val="16"/>
              </w:rPr>
              <w:t>alta especialidad</w:t>
            </w:r>
          </w:p>
        </w:tc>
        <w:tc>
          <w:tcPr>
            <w:tcW w:w="3230"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rsidR="001C17AD" w:rsidRPr="00C02CE4" w:rsidRDefault="001C17AD" w:rsidP="005E6276">
            <w:pPr>
              <w:pStyle w:val="Prrafodelista"/>
              <w:numPr>
                <w:ilvl w:val="0"/>
                <w:numId w:val="4"/>
              </w:numPr>
              <w:spacing w:before="120" w:after="120" w:line="276" w:lineRule="auto"/>
              <w:jc w:val="both"/>
              <w:rPr>
                <w:rFonts w:ascii="Noto Sans" w:hAnsi="Noto Sans" w:cs="Noto Sans"/>
                <w:sz w:val="16"/>
                <w:szCs w:val="16"/>
              </w:rPr>
            </w:pPr>
            <w:r w:rsidRPr="00C02CE4">
              <w:rPr>
                <w:rFonts w:ascii="Noto Sans" w:hAnsi="Noto Sans" w:cs="Noto Sans"/>
                <w:sz w:val="16"/>
                <w:szCs w:val="16"/>
              </w:rPr>
              <w:t xml:space="preserve"> (Pacientes sin seguridad social valorados en la consulta externa que presentan padecimientos que requiere atención de alta especialidad /total de personas valoradas en la consulta externa)*100</w:t>
            </w:r>
          </w:p>
        </w:tc>
        <w:tc>
          <w:tcPr>
            <w:tcW w:w="2982"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rsidR="00E2709D" w:rsidRPr="00C02CE4" w:rsidRDefault="00E25C6A"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t xml:space="preserve">1.- Se mejora la cobertura de atención médica del primero y segundo nivel de atención a la población no derechohabiente de la seguridad social. 2.- Las políticas públicas de salud tienen una mayor cobertura de padecimientos que requieren atención médica especializada y de la población que es atendida por las instituciones de salud para población no derechohabiente. 3.- Se mantienen condiciones macroeconómicas estables que permitan la adquisición y mantenimiento de equipo e insumos especializados </w:t>
            </w:r>
            <w:r w:rsidRPr="00C02CE4">
              <w:rPr>
                <w:rFonts w:ascii="Noto Sans" w:hAnsi="Noto Sans" w:cs="Noto Sans"/>
                <w:sz w:val="16"/>
                <w:szCs w:val="16"/>
              </w:rPr>
              <w:lastRenderedPageBreak/>
              <w:t>para la salud. 4.- Las redes de servicios operan adecuadamente el sistema de referencia y contrarreferencia.</w:t>
            </w:r>
          </w:p>
        </w:tc>
      </w:tr>
      <w:tr w:rsidR="00493E97" w:rsidRPr="00C02CE4" w:rsidTr="00C02CE4">
        <w:trPr>
          <w:trHeight w:val="540"/>
        </w:trPr>
        <w:tc>
          <w:tcPr>
            <w:tcW w:w="1410" w:type="dxa"/>
            <w:tcBorders>
              <w:top w:val="single" w:sz="8" w:space="0" w:color="FFFFFF"/>
              <w:left w:val="single" w:sz="8" w:space="0" w:color="FFFFFF"/>
              <w:bottom w:val="single" w:sz="8" w:space="0" w:color="FFFFFF"/>
              <w:right w:val="single" w:sz="8" w:space="0" w:color="FFFFFF"/>
            </w:tcBorders>
            <w:shd w:val="clear" w:color="auto" w:fill="A6802D"/>
            <w:tcMar>
              <w:top w:w="72" w:type="dxa"/>
              <w:left w:w="144" w:type="dxa"/>
              <w:bottom w:w="72" w:type="dxa"/>
              <w:right w:w="144" w:type="dxa"/>
            </w:tcMar>
            <w:vAlign w:val="center"/>
            <w:hideMark/>
          </w:tcPr>
          <w:p w:rsidR="00E2709D" w:rsidRPr="00C02CE4" w:rsidRDefault="00E2709D" w:rsidP="006F7F21">
            <w:pPr>
              <w:spacing w:before="120" w:after="120" w:line="276" w:lineRule="auto"/>
              <w:jc w:val="center"/>
              <w:rPr>
                <w:rFonts w:ascii="Noto Sans" w:hAnsi="Noto Sans" w:cs="Noto Sans"/>
                <w:color w:val="FFFFFF" w:themeColor="background1"/>
                <w:sz w:val="16"/>
                <w:szCs w:val="16"/>
              </w:rPr>
            </w:pPr>
            <w:r w:rsidRPr="00C02CE4">
              <w:rPr>
                <w:rFonts w:ascii="Noto Sans" w:hAnsi="Noto Sans" w:cs="Noto Sans"/>
                <w:b/>
                <w:bCs/>
                <w:color w:val="FFFFFF" w:themeColor="background1"/>
                <w:sz w:val="16"/>
                <w:szCs w:val="16"/>
              </w:rPr>
              <w:lastRenderedPageBreak/>
              <w:t>Componentes</w:t>
            </w:r>
          </w:p>
        </w:tc>
        <w:tc>
          <w:tcPr>
            <w:tcW w:w="2847"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rsidR="00E2709D" w:rsidRPr="00C02CE4" w:rsidRDefault="0087473D"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t>Estos indicadores nos servirán para medir tanto el servicio ambulatorio como la atención hospitalaria en los componentes de consulta, atención quirúrgica, rehabilitación y calidad.</w:t>
            </w:r>
          </w:p>
        </w:tc>
        <w:tc>
          <w:tcPr>
            <w:tcW w:w="3278"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rsidR="00E2709D" w:rsidRPr="00C02CE4" w:rsidRDefault="0087473D"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t>1.- Índice de utilización de consultorio</w:t>
            </w:r>
          </w:p>
          <w:p w:rsidR="0087473D" w:rsidRPr="00C02CE4" w:rsidRDefault="000230FE"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t>2</w:t>
            </w:r>
            <w:r w:rsidR="0087473D" w:rsidRPr="00C02CE4">
              <w:rPr>
                <w:rFonts w:ascii="Noto Sans" w:hAnsi="Noto Sans" w:cs="Noto Sans"/>
                <w:sz w:val="16"/>
                <w:szCs w:val="16"/>
              </w:rPr>
              <w:t>. Índice de utilización de salas de cirugía</w:t>
            </w:r>
          </w:p>
          <w:p w:rsidR="0087473D" w:rsidRPr="00C02CE4" w:rsidRDefault="000230FE"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t>3</w:t>
            </w:r>
            <w:r w:rsidR="0087473D" w:rsidRPr="00C02CE4">
              <w:rPr>
                <w:rFonts w:ascii="Noto Sans" w:hAnsi="Noto Sans" w:cs="Noto Sans"/>
                <w:sz w:val="16"/>
                <w:szCs w:val="16"/>
              </w:rPr>
              <w:t xml:space="preserve">. </w:t>
            </w:r>
            <w:r w:rsidR="00C208DA" w:rsidRPr="00C02CE4">
              <w:rPr>
                <w:rFonts w:ascii="Noto Sans" w:hAnsi="Noto Sans" w:cs="Noto Sans"/>
                <w:sz w:val="16"/>
                <w:szCs w:val="16"/>
              </w:rPr>
              <w:t>Eficacia en el otorgamiento de consulta programada (preconsulta, primera vez, subsecuentes, urgencias o admisión continua)</w:t>
            </w:r>
          </w:p>
          <w:p w:rsidR="0087473D" w:rsidRPr="00C02CE4" w:rsidRDefault="000230FE"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t>4</w:t>
            </w:r>
            <w:r w:rsidR="0087473D" w:rsidRPr="00C02CE4">
              <w:rPr>
                <w:rFonts w:ascii="Noto Sans" w:hAnsi="Noto Sans" w:cs="Noto Sans"/>
                <w:sz w:val="16"/>
                <w:szCs w:val="16"/>
              </w:rPr>
              <w:t>. Porcentaje de diferimiento quirúrgico por cirugía programadas</w:t>
            </w:r>
          </w:p>
          <w:p w:rsidR="0087473D" w:rsidRPr="00C02CE4" w:rsidRDefault="000230FE"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t>5</w:t>
            </w:r>
            <w:r w:rsidR="0087473D" w:rsidRPr="00C02CE4">
              <w:rPr>
                <w:rFonts w:ascii="Noto Sans" w:hAnsi="Noto Sans" w:cs="Noto Sans"/>
                <w:sz w:val="16"/>
                <w:szCs w:val="16"/>
              </w:rPr>
              <w:t xml:space="preserve">. </w:t>
            </w:r>
            <w:r w:rsidR="00C208DA" w:rsidRPr="00C02CE4">
              <w:rPr>
                <w:rFonts w:ascii="Noto Sans" w:hAnsi="Noto Sans" w:cs="Noto Sans"/>
                <w:sz w:val="16"/>
                <w:szCs w:val="16"/>
              </w:rPr>
              <w:t>Porcentaje de sesiones de rehabilitación especializadas realizadas respecto al total realizado </w:t>
            </w:r>
          </w:p>
          <w:p w:rsidR="0087473D" w:rsidRPr="00C02CE4" w:rsidRDefault="000230FE"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t>6</w:t>
            </w:r>
            <w:r w:rsidR="0087473D" w:rsidRPr="00C02CE4">
              <w:rPr>
                <w:rFonts w:ascii="Noto Sans" w:hAnsi="Noto Sans" w:cs="Noto Sans"/>
                <w:sz w:val="16"/>
                <w:szCs w:val="16"/>
              </w:rPr>
              <w:t xml:space="preserve">. </w:t>
            </w:r>
            <w:r w:rsidR="00C208DA" w:rsidRPr="00C02CE4">
              <w:rPr>
                <w:rFonts w:ascii="Noto Sans" w:hAnsi="Noto Sans" w:cs="Noto Sans"/>
                <w:sz w:val="16"/>
                <w:szCs w:val="16"/>
              </w:rPr>
              <w:t>Porcentaje de usuarios con percepción de satisfacción de la calidad de la atención médica ambulatoria recibida superior a 80 puntos porcentuales </w:t>
            </w:r>
          </w:p>
          <w:p w:rsidR="00493E97" w:rsidRPr="00C02CE4" w:rsidRDefault="000230FE"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t>7</w:t>
            </w:r>
            <w:r w:rsidR="00493E97" w:rsidRPr="00C02CE4">
              <w:rPr>
                <w:rFonts w:ascii="Noto Sans" w:hAnsi="Noto Sans" w:cs="Noto Sans"/>
                <w:sz w:val="16"/>
                <w:szCs w:val="16"/>
              </w:rPr>
              <w:t xml:space="preserve">. </w:t>
            </w:r>
            <w:r w:rsidR="00C208DA" w:rsidRPr="00C02CE4">
              <w:rPr>
                <w:rFonts w:ascii="Noto Sans" w:hAnsi="Noto Sans" w:cs="Noto Sans"/>
                <w:sz w:val="16"/>
                <w:szCs w:val="16"/>
              </w:rPr>
              <w:t>Porcentaje de usuarios con percepción de satisfacción de la calidad de la atención médica hospitalaria recibida superior a 80 puntos porcentuales </w:t>
            </w:r>
          </w:p>
          <w:p w:rsidR="00493E97" w:rsidRPr="00C02CE4" w:rsidRDefault="000230FE"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lastRenderedPageBreak/>
              <w:t>8</w:t>
            </w:r>
            <w:r w:rsidR="00493E97" w:rsidRPr="00C02CE4">
              <w:rPr>
                <w:rFonts w:ascii="Noto Sans" w:hAnsi="Noto Sans" w:cs="Noto Sans"/>
                <w:sz w:val="16"/>
                <w:szCs w:val="16"/>
              </w:rPr>
              <w:t>. Promedio de días estancia</w:t>
            </w:r>
          </w:p>
          <w:p w:rsidR="00493E97" w:rsidRPr="00C02CE4" w:rsidRDefault="000230FE"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t>9</w:t>
            </w:r>
            <w:r w:rsidR="00493E97" w:rsidRPr="00C02CE4">
              <w:rPr>
                <w:rFonts w:ascii="Noto Sans" w:hAnsi="Noto Sans" w:cs="Noto Sans"/>
                <w:sz w:val="16"/>
                <w:szCs w:val="16"/>
              </w:rPr>
              <w:t>. Tasa de reingresos hospitalarios por patologías no resueltas</w:t>
            </w:r>
          </w:p>
          <w:p w:rsidR="000230FE" w:rsidRPr="00C02CE4" w:rsidRDefault="000230FE" w:rsidP="00C02CE4">
            <w:pPr>
              <w:spacing w:before="120" w:after="120" w:line="276" w:lineRule="auto"/>
              <w:jc w:val="both"/>
              <w:rPr>
                <w:rFonts w:ascii="Noto Sans" w:hAnsi="Noto Sans" w:cs="Noto Sans"/>
                <w:sz w:val="16"/>
                <w:szCs w:val="16"/>
              </w:rPr>
            </w:pPr>
          </w:p>
        </w:tc>
        <w:tc>
          <w:tcPr>
            <w:tcW w:w="3230"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rsidR="00E2709D" w:rsidRPr="00C02CE4" w:rsidRDefault="0087473D" w:rsidP="005E6276">
            <w:pPr>
              <w:pStyle w:val="Prrafodelista"/>
              <w:numPr>
                <w:ilvl w:val="0"/>
                <w:numId w:val="6"/>
              </w:numPr>
              <w:spacing w:before="120" w:after="120" w:line="276" w:lineRule="auto"/>
              <w:jc w:val="both"/>
              <w:rPr>
                <w:rFonts w:ascii="Noto Sans" w:hAnsi="Noto Sans" w:cs="Noto Sans"/>
                <w:sz w:val="16"/>
                <w:szCs w:val="16"/>
              </w:rPr>
            </w:pPr>
            <w:r w:rsidRPr="00C02CE4">
              <w:rPr>
                <w:rFonts w:ascii="Noto Sans" w:hAnsi="Noto Sans" w:cs="Noto Sans"/>
                <w:sz w:val="16"/>
                <w:szCs w:val="16"/>
              </w:rPr>
              <w:lastRenderedPageBreak/>
              <w:t>Sumatoria de tiempos de cada consulta (horas) /Número de consultorios x Horas hábiles del periodo (días hábiles x horas hábiles de la jornada)</w:t>
            </w:r>
          </w:p>
          <w:p w:rsidR="0087473D" w:rsidRPr="00C02CE4" w:rsidRDefault="0087473D" w:rsidP="005E6276">
            <w:pPr>
              <w:pStyle w:val="Prrafodelista"/>
              <w:numPr>
                <w:ilvl w:val="0"/>
                <w:numId w:val="6"/>
              </w:numPr>
              <w:spacing w:before="120" w:after="120" w:line="276" w:lineRule="auto"/>
              <w:jc w:val="both"/>
              <w:rPr>
                <w:rFonts w:ascii="Noto Sans" w:hAnsi="Noto Sans" w:cs="Noto Sans"/>
                <w:sz w:val="16"/>
                <w:szCs w:val="16"/>
              </w:rPr>
            </w:pPr>
            <w:r w:rsidRPr="00C02CE4">
              <w:rPr>
                <w:rFonts w:ascii="Noto Sans" w:hAnsi="Noto Sans" w:cs="Noto Sans"/>
                <w:sz w:val="16"/>
                <w:szCs w:val="16"/>
              </w:rPr>
              <w:t>Sumatoria de tiempos quirúrgico de cada cirugía (horas)/Número de salas quirúrgicas</w:t>
            </w:r>
          </w:p>
          <w:p w:rsidR="004B1905" w:rsidRPr="00C02CE4" w:rsidRDefault="004B1905" w:rsidP="005E6276">
            <w:pPr>
              <w:pStyle w:val="Prrafodelista"/>
              <w:numPr>
                <w:ilvl w:val="0"/>
                <w:numId w:val="6"/>
              </w:numPr>
              <w:spacing w:before="120" w:after="120" w:line="276" w:lineRule="auto"/>
              <w:jc w:val="both"/>
              <w:rPr>
                <w:rFonts w:ascii="Noto Sans" w:hAnsi="Noto Sans" w:cs="Noto Sans"/>
                <w:sz w:val="16"/>
                <w:szCs w:val="16"/>
              </w:rPr>
            </w:pPr>
            <w:r w:rsidRPr="00C02CE4">
              <w:rPr>
                <w:rFonts w:ascii="Noto Sans" w:hAnsi="Noto Sans" w:cs="Noto Sans"/>
                <w:sz w:val="16"/>
                <w:szCs w:val="16"/>
              </w:rPr>
              <w:t>Número de consultas realizadas (preconsulta, primera vez, subsecuentes, urgencias o admisión continua) / Número de consultas programadas (preconsulta, primera vez, subsecuentes, urgencias o admisión continua) x 100</w:t>
            </w:r>
          </w:p>
          <w:p w:rsidR="0087473D" w:rsidRPr="00C02CE4" w:rsidRDefault="0087473D" w:rsidP="005E6276">
            <w:pPr>
              <w:pStyle w:val="Prrafodelista"/>
              <w:numPr>
                <w:ilvl w:val="0"/>
                <w:numId w:val="6"/>
              </w:numPr>
              <w:spacing w:before="120" w:after="120" w:line="276" w:lineRule="auto"/>
              <w:jc w:val="both"/>
              <w:rPr>
                <w:rFonts w:ascii="Noto Sans" w:hAnsi="Noto Sans" w:cs="Noto Sans"/>
                <w:sz w:val="16"/>
                <w:szCs w:val="16"/>
              </w:rPr>
            </w:pPr>
            <w:r w:rsidRPr="00C02CE4">
              <w:rPr>
                <w:rFonts w:ascii="Noto Sans" w:hAnsi="Noto Sans" w:cs="Noto Sans"/>
                <w:sz w:val="16"/>
                <w:szCs w:val="16"/>
              </w:rPr>
              <w:t>Número de cirugías diferidas</w:t>
            </w:r>
            <w:r w:rsidR="009E77FF" w:rsidRPr="00C02CE4">
              <w:rPr>
                <w:rFonts w:ascii="Noto Sans" w:hAnsi="Noto Sans" w:cs="Noto Sans"/>
                <w:sz w:val="16"/>
                <w:szCs w:val="16"/>
              </w:rPr>
              <w:t xml:space="preserve"> </w:t>
            </w:r>
            <w:r w:rsidRPr="00C02CE4">
              <w:rPr>
                <w:rFonts w:ascii="Noto Sans" w:hAnsi="Noto Sans" w:cs="Noto Sans"/>
                <w:sz w:val="16"/>
                <w:szCs w:val="16"/>
              </w:rPr>
              <w:t>de acuerdo a la programación/ Total de cirugías realizadas x 100</w:t>
            </w:r>
          </w:p>
          <w:p w:rsidR="0087473D" w:rsidRPr="00C02CE4" w:rsidRDefault="000230FE" w:rsidP="005E6276">
            <w:pPr>
              <w:pStyle w:val="Prrafodelista"/>
              <w:numPr>
                <w:ilvl w:val="0"/>
                <w:numId w:val="6"/>
              </w:numPr>
              <w:spacing w:before="120" w:after="120" w:line="276" w:lineRule="auto"/>
              <w:jc w:val="both"/>
              <w:rPr>
                <w:rFonts w:ascii="Noto Sans" w:hAnsi="Noto Sans" w:cs="Noto Sans"/>
                <w:sz w:val="16"/>
                <w:szCs w:val="16"/>
              </w:rPr>
            </w:pPr>
            <w:r w:rsidRPr="00C02CE4">
              <w:rPr>
                <w:rFonts w:ascii="Noto Sans" w:hAnsi="Noto Sans" w:cs="Noto Sans"/>
                <w:sz w:val="16"/>
                <w:szCs w:val="16"/>
              </w:rPr>
              <w:t xml:space="preserve"> </w:t>
            </w:r>
            <w:r w:rsidR="0087473D" w:rsidRPr="00C02CE4">
              <w:rPr>
                <w:rFonts w:ascii="Noto Sans" w:hAnsi="Noto Sans" w:cs="Noto Sans"/>
                <w:sz w:val="16"/>
                <w:szCs w:val="16"/>
              </w:rPr>
              <w:t xml:space="preserve">(Número de sesiones de rehabilitación especializadas </w:t>
            </w:r>
            <w:r w:rsidR="0087473D" w:rsidRPr="00C02CE4">
              <w:rPr>
                <w:rFonts w:ascii="Noto Sans" w:hAnsi="Noto Sans" w:cs="Noto Sans"/>
                <w:sz w:val="16"/>
                <w:szCs w:val="16"/>
              </w:rPr>
              <w:lastRenderedPageBreak/>
              <w:t>realizadas/Total de sesiones de rehabilitación realizadas)/ x 100</w:t>
            </w:r>
          </w:p>
          <w:p w:rsidR="0087473D" w:rsidRPr="00C02CE4" w:rsidRDefault="0087473D" w:rsidP="005E6276">
            <w:pPr>
              <w:pStyle w:val="Prrafodelista"/>
              <w:numPr>
                <w:ilvl w:val="0"/>
                <w:numId w:val="6"/>
              </w:numPr>
              <w:spacing w:before="120" w:after="120" w:line="276" w:lineRule="auto"/>
              <w:jc w:val="both"/>
              <w:rPr>
                <w:rFonts w:ascii="Noto Sans" w:hAnsi="Noto Sans" w:cs="Noto Sans"/>
                <w:sz w:val="16"/>
                <w:szCs w:val="16"/>
              </w:rPr>
            </w:pPr>
            <w:r w:rsidRPr="00C02CE4">
              <w:rPr>
                <w:rFonts w:ascii="Noto Sans" w:hAnsi="Noto Sans" w:cs="Noto Sans"/>
                <w:sz w:val="16"/>
                <w:szCs w:val="16"/>
              </w:rPr>
              <w:t>Número de usuarios en atención ambulatoria que manifestaron una calificación de percepción de satisfacción de la calidad de la atención recibida superior a 80 puntos porcentuales / Total de usuarios en</w:t>
            </w:r>
            <w:r w:rsidR="00493E97" w:rsidRPr="00C02CE4">
              <w:rPr>
                <w:rFonts w:ascii="Noto Sans" w:hAnsi="Noto Sans" w:cs="Noto Sans"/>
                <w:sz w:val="16"/>
                <w:szCs w:val="16"/>
              </w:rPr>
              <w:t xml:space="preserve"> atención ambulatoria encuestados) x 100</w:t>
            </w:r>
          </w:p>
          <w:p w:rsidR="00493E97" w:rsidRPr="00C02CE4" w:rsidRDefault="00493E97" w:rsidP="005E6276">
            <w:pPr>
              <w:pStyle w:val="Prrafodelista"/>
              <w:numPr>
                <w:ilvl w:val="0"/>
                <w:numId w:val="6"/>
              </w:numPr>
              <w:spacing w:before="120" w:after="120" w:line="276" w:lineRule="auto"/>
              <w:jc w:val="both"/>
              <w:rPr>
                <w:rFonts w:ascii="Noto Sans" w:hAnsi="Noto Sans" w:cs="Noto Sans"/>
                <w:sz w:val="16"/>
                <w:szCs w:val="16"/>
              </w:rPr>
            </w:pPr>
            <w:r w:rsidRPr="00C02CE4">
              <w:rPr>
                <w:rFonts w:ascii="Noto Sans" w:hAnsi="Noto Sans" w:cs="Noto Sans"/>
                <w:sz w:val="16"/>
                <w:szCs w:val="16"/>
              </w:rPr>
              <w:t>(Número de usuarios en atención hospitalaria que manifestaron una calificación de percepción de satisfacción de la calidad de la atención recibida superior a 80 puntos porcentuales) / (Número total de usuarios en atención hospitalaria encuestados) X 100</w:t>
            </w:r>
          </w:p>
          <w:p w:rsidR="00493E97" w:rsidRPr="00C02CE4" w:rsidRDefault="00493E97" w:rsidP="005E6276">
            <w:pPr>
              <w:pStyle w:val="Prrafodelista"/>
              <w:numPr>
                <w:ilvl w:val="0"/>
                <w:numId w:val="6"/>
              </w:numPr>
              <w:spacing w:before="120" w:after="120" w:line="276" w:lineRule="auto"/>
              <w:jc w:val="both"/>
              <w:rPr>
                <w:rFonts w:ascii="Noto Sans" w:hAnsi="Noto Sans" w:cs="Noto Sans"/>
                <w:sz w:val="16"/>
                <w:szCs w:val="16"/>
              </w:rPr>
            </w:pPr>
            <w:r w:rsidRPr="00C02CE4">
              <w:rPr>
                <w:rFonts w:ascii="Noto Sans" w:hAnsi="Noto Sans" w:cs="Noto Sans"/>
                <w:sz w:val="16"/>
                <w:szCs w:val="16"/>
              </w:rPr>
              <w:t>Número de días estancia / Total de egresos hospitalarios</w:t>
            </w:r>
          </w:p>
          <w:p w:rsidR="00493E97" w:rsidRPr="00C02CE4" w:rsidRDefault="00493E97" w:rsidP="005E6276">
            <w:pPr>
              <w:pStyle w:val="Prrafodelista"/>
              <w:numPr>
                <w:ilvl w:val="0"/>
                <w:numId w:val="6"/>
              </w:numPr>
              <w:spacing w:before="120" w:after="120" w:line="276" w:lineRule="auto"/>
              <w:jc w:val="both"/>
              <w:rPr>
                <w:rFonts w:ascii="Noto Sans" w:hAnsi="Noto Sans" w:cs="Noto Sans"/>
                <w:sz w:val="16"/>
                <w:szCs w:val="16"/>
              </w:rPr>
            </w:pPr>
            <w:r w:rsidRPr="00C02CE4">
              <w:rPr>
                <w:rFonts w:ascii="Noto Sans" w:hAnsi="Noto Sans" w:cs="Noto Sans"/>
                <w:sz w:val="16"/>
                <w:szCs w:val="16"/>
              </w:rPr>
              <w:t xml:space="preserve">Número de pacientes reingresados por patología no resuelta en los 30 días </w:t>
            </w:r>
            <w:r w:rsidRPr="00C02CE4">
              <w:rPr>
                <w:rFonts w:ascii="Noto Sans" w:hAnsi="Noto Sans" w:cs="Noto Sans"/>
                <w:sz w:val="16"/>
                <w:szCs w:val="16"/>
              </w:rPr>
              <w:lastRenderedPageBreak/>
              <w:t>posteriores al alta/Total de egresos x 1000</w:t>
            </w:r>
          </w:p>
          <w:p w:rsidR="000230FE" w:rsidRPr="00C02CE4" w:rsidRDefault="000230FE" w:rsidP="00C02CE4">
            <w:pPr>
              <w:spacing w:before="120" w:after="120" w:line="276" w:lineRule="auto"/>
              <w:ind w:left="360"/>
              <w:jc w:val="both"/>
              <w:rPr>
                <w:rFonts w:ascii="Noto Sans" w:hAnsi="Noto Sans" w:cs="Noto Sans"/>
                <w:sz w:val="16"/>
                <w:szCs w:val="16"/>
              </w:rPr>
            </w:pPr>
          </w:p>
        </w:tc>
        <w:tc>
          <w:tcPr>
            <w:tcW w:w="2982"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rsidR="00E2709D" w:rsidRPr="00C02CE4" w:rsidRDefault="00017BFC"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lastRenderedPageBreak/>
              <w:t>1.- La demanda se mantiene de acuerdo a lo proyectado.</w:t>
            </w:r>
            <w:r w:rsidR="009E77FF" w:rsidRPr="00C02CE4">
              <w:rPr>
                <w:rFonts w:ascii="Noto Sans" w:hAnsi="Noto Sans" w:cs="Noto Sans"/>
                <w:sz w:val="16"/>
                <w:szCs w:val="16"/>
              </w:rPr>
              <w:t xml:space="preserve"> </w:t>
            </w:r>
            <w:r w:rsidRPr="00C02CE4">
              <w:rPr>
                <w:rFonts w:ascii="Noto Sans" w:hAnsi="Noto Sans" w:cs="Noto Sans"/>
                <w:sz w:val="16"/>
                <w:szCs w:val="16"/>
              </w:rPr>
              <w:t>1.- La población cumple con las medidas de prevención primaria y secundaria para la preservación de la salud. 2.- La población acepta la contrarreferencia a sus unidades médicas de adscripción.</w:t>
            </w:r>
            <w:r w:rsidR="009E77FF" w:rsidRPr="00C02CE4">
              <w:rPr>
                <w:rFonts w:ascii="Noto Sans" w:hAnsi="Noto Sans" w:cs="Noto Sans"/>
                <w:sz w:val="16"/>
                <w:szCs w:val="16"/>
              </w:rPr>
              <w:t xml:space="preserve"> </w:t>
            </w:r>
            <w:r w:rsidRPr="00C02CE4">
              <w:rPr>
                <w:rFonts w:ascii="Noto Sans" w:hAnsi="Noto Sans" w:cs="Noto Sans"/>
                <w:sz w:val="16"/>
                <w:szCs w:val="16"/>
              </w:rPr>
              <w:t xml:space="preserve">1.-Existen zonas geográficas que permiten el fácil acceso de la población a las unidades de atención médica. 2.-Existe, por parte de las Entidades Federativas, una adecuada y eficiente planeación de las necesidades de biológicos para vacunación. 3.-Las Entidades Federativas realizan la solicitud de insumos para la detección temprana de enfermedades prevenibles y su tratamiento, con base en sus necesidades reales.4.- Existe una buena utilización de los recursos solicitados por parte de las Entidades Federativas para brindar la atención requerida por la </w:t>
            </w:r>
            <w:r w:rsidRPr="00C02CE4">
              <w:rPr>
                <w:rFonts w:ascii="Noto Sans" w:hAnsi="Noto Sans" w:cs="Noto Sans"/>
                <w:sz w:val="16"/>
                <w:szCs w:val="16"/>
              </w:rPr>
              <w:lastRenderedPageBreak/>
              <w:t>población en las unidades de atención médica.</w:t>
            </w:r>
          </w:p>
        </w:tc>
      </w:tr>
      <w:tr w:rsidR="00493E97" w:rsidRPr="00C02CE4" w:rsidTr="00C02CE4">
        <w:trPr>
          <w:trHeight w:val="523"/>
        </w:trPr>
        <w:tc>
          <w:tcPr>
            <w:tcW w:w="1410" w:type="dxa"/>
            <w:tcBorders>
              <w:top w:val="single" w:sz="8" w:space="0" w:color="FFFFFF"/>
              <w:left w:val="single" w:sz="8" w:space="0" w:color="FFFFFF"/>
              <w:bottom w:val="single" w:sz="8" w:space="0" w:color="FFFFFF"/>
              <w:right w:val="single" w:sz="8" w:space="0" w:color="FFFFFF"/>
            </w:tcBorders>
            <w:shd w:val="clear" w:color="auto" w:fill="D4C19C"/>
            <w:tcMar>
              <w:top w:w="72" w:type="dxa"/>
              <w:left w:w="144" w:type="dxa"/>
              <w:bottom w:w="72" w:type="dxa"/>
              <w:right w:w="144" w:type="dxa"/>
            </w:tcMar>
            <w:vAlign w:val="center"/>
            <w:hideMark/>
          </w:tcPr>
          <w:p w:rsidR="00E2709D" w:rsidRPr="00C02CE4" w:rsidRDefault="00E2709D" w:rsidP="006F7F21">
            <w:pPr>
              <w:spacing w:before="120" w:after="120" w:line="276" w:lineRule="auto"/>
              <w:jc w:val="center"/>
              <w:rPr>
                <w:rFonts w:ascii="Noto Sans" w:hAnsi="Noto Sans" w:cs="Noto Sans"/>
                <w:sz w:val="16"/>
                <w:szCs w:val="16"/>
              </w:rPr>
            </w:pPr>
            <w:r w:rsidRPr="00C02CE4">
              <w:rPr>
                <w:rFonts w:ascii="Noto Sans" w:hAnsi="Noto Sans" w:cs="Noto Sans"/>
                <w:b/>
                <w:bCs/>
                <w:sz w:val="16"/>
                <w:szCs w:val="16"/>
              </w:rPr>
              <w:lastRenderedPageBreak/>
              <w:t>Actividades</w:t>
            </w:r>
          </w:p>
        </w:tc>
        <w:tc>
          <w:tcPr>
            <w:tcW w:w="2847"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rsidR="00E2709D" w:rsidRPr="00C02CE4" w:rsidRDefault="0087473D"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t xml:space="preserve">Debido a que el objetivo </w:t>
            </w:r>
            <w:r w:rsidR="000230FE" w:rsidRPr="00C02CE4">
              <w:rPr>
                <w:rFonts w:ascii="Noto Sans" w:hAnsi="Noto Sans" w:cs="Noto Sans"/>
                <w:sz w:val="16"/>
                <w:szCs w:val="16"/>
              </w:rPr>
              <w:t>e</w:t>
            </w:r>
            <w:r w:rsidRPr="00C02CE4">
              <w:rPr>
                <w:rFonts w:ascii="Noto Sans" w:hAnsi="Noto Sans" w:cs="Noto Sans"/>
                <w:sz w:val="16"/>
                <w:szCs w:val="16"/>
              </w:rPr>
              <w:t xml:space="preserve"> programa es la atención médica, las actividades realizadas serán a través de los porcentajes de pacientes atendidos</w:t>
            </w:r>
          </w:p>
        </w:tc>
        <w:tc>
          <w:tcPr>
            <w:tcW w:w="3278"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rsidR="00DC3DBE" w:rsidRPr="00C02CE4" w:rsidRDefault="00DC3DBE" w:rsidP="005E6276">
            <w:pPr>
              <w:pStyle w:val="Prrafodelista"/>
              <w:numPr>
                <w:ilvl w:val="0"/>
                <w:numId w:val="5"/>
              </w:numPr>
              <w:spacing w:before="120" w:after="120" w:line="276" w:lineRule="auto"/>
              <w:jc w:val="both"/>
              <w:rPr>
                <w:rFonts w:ascii="Noto Sans" w:hAnsi="Noto Sans" w:cs="Noto Sans"/>
                <w:sz w:val="16"/>
                <w:szCs w:val="16"/>
              </w:rPr>
            </w:pPr>
            <w:r w:rsidRPr="00C02CE4">
              <w:rPr>
                <w:rFonts w:ascii="Noto Sans" w:eastAsia="Times New Roman" w:hAnsi="Noto Sans" w:cs="Noto Sans"/>
                <w:sz w:val="16"/>
                <w:szCs w:val="16"/>
              </w:rPr>
              <w:t>Proporción de consultas de primera vez respecto a preconsultas</w:t>
            </w:r>
          </w:p>
          <w:p w:rsidR="001C17AD" w:rsidRPr="00C02CE4" w:rsidRDefault="001C17AD" w:rsidP="005E6276">
            <w:pPr>
              <w:pStyle w:val="Prrafodelista"/>
              <w:numPr>
                <w:ilvl w:val="0"/>
                <w:numId w:val="5"/>
              </w:numPr>
              <w:spacing w:before="120" w:after="120" w:line="276" w:lineRule="auto"/>
              <w:jc w:val="both"/>
              <w:rPr>
                <w:rFonts w:ascii="Noto Sans" w:hAnsi="Noto Sans" w:cs="Noto Sans"/>
                <w:sz w:val="16"/>
                <w:szCs w:val="16"/>
              </w:rPr>
            </w:pPr>
            <w:r w:rsidRPr="00C02CE4">
              <w:rPr>
                <w:rFonts w:ascii="Noto Sans" w:hAnsi="Noto Sans" w:cs="Noto Sans"/>
                <w:sz w:val="16"/>
                <w:szCs w:val="16"/>
              </w:rPr>
              <w:t>Porcentaje de pacientes atendidos de segundo nivel</w:t>
            </w:r>
          </w:p>
          <w:p w:rsidR="001C17AD" w:rsidRPr="00C02CE4" w:rsidRDefault="001C17AD" w:rsidP="005E6276">
            <w:pPr>
              <w:pStyle w:val="Prrafodelista"/>
              <w:numPr>
                <w:ilvl w:val="0"/>
                <w:numId w:val="5"/>
              </w:numPr>
              <w:spacing w:before="120" w:after="120" w:line="276" w:lineRule="auto"/>
              <w:jc w:val="both"/>
              <w:rPr>
                <w:rFonts w:ascii="Noto Sans" w:hAnsi="Noto Sans" w:cs="Noto Sans"/>
                <w:sz w:val="16"/>
                <w:szCs w:val="16"/>
              </w:rPr>
            </w:pPr>
            <w:r w:rsidRPr="00C02CE4">
              <w:rPr>
                <w:rFonts w:ascii="Noto Sans" w:hAnsi="Noto Sans" w:cs="Noto Sans"/>
                <w:sz w:val="16"/>
                <w:szCs w:val="16"/>
              </w:rPr>
              <w:t>Porcentaje de pacientes atendidos de tercer nivel</w:t>
            </w:r>
          </w:p>
          <w:p w:rsidR="004B1905" w:rsidRPr="00C02CE4" w:rsidRDefault="004B1905" w:rsidP="005E6276">
            <w:pPr>
              <w:pStyle w:val="Prrafodelista"/>
              <w:numPr>
                <w:ilvl w:val="0"/>
                <w:numId w:val="5"/>
              </w:numPr>
              <w:spacing w:before="120" w:after="120" w:line="276" w:lineRule="auto"/>
              <w:jc w:val="both"/>
              <w:rPr>
                <w:rFonts w:ascii="Noto Sans" w:hAnsi="Noto Sans" w:cs="Noto Sans"/>
                <w:sz w:val="16"/>
                <w:szCs w:val="16"/>
              </w:rPr>
            </w:pPr>
            <w:r w:rsidRPr="00C02CE4">
              <w:rPr>
                <w:rFonts w:ascii="Noto Sans" w:hAnsi="Noto Sans" w:cs="Noto Sans"/>
                <w:sz w:val="16"/>
                <w:szCs w:val="16"/>
              </w:rPr>
              <w:t>Tasa de infección nosocomial por mil días de estancia hospitalaria</w:t>
            </w:r>
          </w:p>
          <w:p w:rsidR="00E2709D" w:rsidRPr="00C02CE4" w:rsidRDefault="00E2709D" w:rsidP="00C02CE4">
            <w:pPr>
              <w:spacing w:before="120" w:after="120" w:line="276" w:lineRule="auto"/>
              <w:jc w:val="both"/>
              <w:rPr>
                <w:rFonts w:ascii="Noto Sans" w:hAnsi="Noto Sans" w:cs="Noto Sans"/>
                <w:sz w:val="16"/>
                <w:szCs w:val="16"/>
              </w:rPr>
            </w:pPr>
          </w:p>
        </w:tc>
        <w:tc>
          <w:tcPr>
            <w:tcW w:w="3230"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rsidR="00DC3DBE" w:rsidRPr="00C02CE4" w:rsidRDefault="00DC3DBE" w:rsidP="005E6276">
            <w:pPr>
              <w:pStyle w:val="Prrafodelista"/>
              <w:numPr>
                <w:ilvl w:val="0"/>
                <w:numId w:val="11"/>
              </w:numPr>
              <w:spacing w:before="120" w:after="120" w:line="276" w:lineRule="auto"/>
              <w:jc w:val="both"/>
              <w:rPr>
                <w:rFonts w:ascii="Noto Sans" w:hAnsi="Noto Sans" w:cs="Noto Sans"/>
                <w:sz w:val="16"/>
                <w:szCs w:val="16"/>
              </w:rPr>
            </w:pPr>
            <w:r w:rsidRPr="00C02CE4">
              <w:rPr>
                <w:rFonts w:ascii="Noto Sans" w:hAnsi="Noto Sans" w:cs="Noto Sans"/>
                <w:sz w:val="16"/>
                <w:szCs w:val="16"/>
              </w:rPr>
              <w:t>(Número de consultas de primera vez otorgadas en el periodo / Número de preconsultas otorgadas en el periodo) x 100</w:t>
            </w:r>
            <w:r w:rsidR="009E77FF" w:rsidRPr="00C02CE4">
              <w:rPr>
                <w:rFonts w:ascii="Noto Sans" w:hAnsi="Noto Sans" w:cs="Noto Sans"/>
                <w:sz w:val="16"/>
                <w:szCs w:val="16"/>
              </w:rPr>
              <w:t xml:space="preserve"> </w:t>
            </w:r>
          </w:p>
          <w:p w:rsidR="001C17AD" w:rsidRPr="00C02CE4" w:rsidRDefault="001C17AD" w:rsidP="005E6276">
            <w:pPr>
              <w:pStyle w:val="Prrafodelista"/>
              <w:numPr>
                <w:ilvl w:val="0"/>
                <w:numId w:val="11"/>
              </w:numPr>
              <w:spacing w:before="120" w:after="120" w:line="276" w:lineRule="auto"/>
              <w:jc w:val="both"/>
              <w:rPr>
                <w:rFonts w:ascii="Noto Sans" w:hAnsi="Noto Sans" w:cs="Noto Sans"/>
                <w:sz w:val="16"/>
                <w:szCs w:val="16"/>
              </w:rPr>
            </w:pPr>
            <w:r w:rsidRPr="00C02CE4">
              <w:rPr>
                <w:rFonts w:ascii="Noto Sans" w:hAnsi="Noto Sans" w:cs="Noto Sans"/>
                <w:sz w:val="16"/>
                <w:szCs w:val="16"/>
              </w:rPr>
              <w:t>(Número de pacientes atendidos de segundo nivel) / (Total de pacientes atendidos) x 100</w:t>
            </w:r>
          </w:p>
          <w:p w:rsidR="00DC3DBE" w:rsidRPr="00C02CE4" w:rsidRDefault="001C17AD" w:rsidP="005E6276">
            <w:pPr>
              <w:pStyle w:val="Prrafodelista"/>
              <w:numPr>
                <w:ilvl w:val="0"/>
                <w:numId w:val="11"/>
              </w:numPr>
              <w:spacing w:before="120" w:after="120" w:line="276" w:lineRule="auto"/>
              <w:jc w:val="both"/>
              <w:rPr>
                <w:rFonts w:ascii="Noto Sans" w:hAnsi="Noto Sans" w:cs="Noto Sans"/>
                <w:sz w:val="16"/>
                <w:szCs w:val="16"/>
              </w:rPr>
            </w:pPr>
            <w:r w:rsidRPr="00C02CE4">
              <w:rPr>
                <w:rFonts w:ascii="Noto Sans" w:hAnsi="Noto Sans" w:cs="Noto Sans"/>
                <w:sz w:val="16"/>
                <w:szCs w:val="16"/>
              </w:rPr>
              <w:t>(Número de pacientes atendidos de tercer nivel) / (Total de pacientes atendidos) x 100</w:t>
            </w:r>
          </w:p>
          <w:p w:rsidR="004B1905" w:rsidRPr="00C02CE4" w:rsidRDefault="004B1905" w:rsidP="005E6276">
            <w:pPr>
              <w:pStyle w:val="Prrafodelista"/>
              <w:numPr>
                <w:ilvl w:val="0"/>
                <w:numId w:val="11"/>
              </w:numPr>
              <w:spacing w:before="120" w:after="120" w:line="276" w:lineRule="auto"/>
              <w:jc w:val="both"/>
              <w:rPr>
                <w:rFonts w:ascii="Noto Sans" w:hAnsi="Noto Sans" w:cs="Noto Sans"/>
                <w:sz w:val="16"/>
                <w:szCs w:val="16"/>
              </w:rPr>
            </w:pPr>
            <w:r w:rsidRPr="00C02CE4">
              <w:rPr>
                <w:rFonts w:ascii="Noto Sans" w:hAnsi="Noto Sans" w:cs="Noto Sans"/>
                <w:sz w:val="16"/>
                <w:szCs w:val="16"/>
              </w:rPr>
              <w:t>(Número de episodios de infecciones nosocomiales registrados en el periodo de reporte / Total de días estancia en el periodo de reporte) x 1000</w:t>
            </w:r>
          </w:p>
          <w:p w:rsidR="00E2709D" w:rsidRPr="00C02CE4" w:rsidRDefault="00E2709D" w:rsidP="00C02CE4">
            <w:pPr>
              <w:spacing w:before="120" w:after="120" w:line="276" w:lineRule="auto"/>
              <w:jc w:val="both"/>
              <w:rPr>
                <w:rFonts w:ascii="Noto Sans" w:hAnsi="Noto Sans" w:cs="Noto Sans"/>
                <w:sz w:val="16"/>
                <w:szCs w:val="16"/>
              </w:rPr>
            </w:pPr>
          </w:p>
        </w:tc>
        <w:tc>
          <w:tcPr>
            <w:tcW w:w="2982" w:type="dxa"/>
            <w:tcBorders>
              <w:top w:val="single" w:sz="8" w:space="0" w:color="FFFFFF"/>
              <w:left w:val="single" w:sz="8" w:space="0" w:color="FFFFFF"/>
              <w:bottom w:val="single" w:sz="8" w:space="0" w:color="FFFFFF"/>
              <w:right w:val="single" w:sz="8" w:space="0" w:color="FFFFFF"/>
            </w:tcBorders>
            <w:shd w:val="clear" w:color="auto" w:fill="D9D9D9"/>
            <w:tcMar>
              <w:top w:w="72" w:type="dxa"/>
              <w:left w:w="144" w:type="dxa"/>
              <w:bottom w:w="72" w:type="dxa"/>
              <w:right w:w="144" w:type="dxa"/>
            </w:tcMar>
            <w:vAlign w:val="center"/>
            <w:hideMark/>
          </w:tcPr>
          <w:p w:rsidR="00E2709D" w:rsidRPr="00C02CE4" w:rsidRDefault="00017BFC" w:rsidP="00C02CE4">
            <w:pPr>
              <w:spacing w:before="120" w:after="120" w:line="276" w:lineRule="auto"/>
              <w:jc w:val="both"/>
              <w:rPr>
                <w:rFonts w:ascii="Noto Sans" w:hAnsi="Noto Sans" w:cs="Noto Sans"/>
                <w:sz w:val="16"/>
                <w:szCs w:val="16"/>
              </w:rPr>
            </w:pPr>
            <w:r w:rsidRPr="00C02CE4">
              <w:rPr>
                <w:rFonts w:ascii="Noto Sans" w:hAnsi="Noto Sans" w:cs="Noto Sans"/>
                <w:sz w:val="16"/>
                <w:szCs w:val="16"/>
              </w:rPr>
              <w:t>1.- La población cumple con las actividades médicas comprometidas con la unidad médica.</w:t>
            </w:r>
            <w:r w:rsidR="009E77FF" w:rsidRPr="00C02CE4">
              <w:rPr>
                <w:rFonts w:ascii="Noto Sans" w:hAnsi="Noto Sans" w:cs="Noto Sans"/>
                <w:sz w:val="16"/>
                <w:szCs w:val="16"/>
              </w:rPr>
              <w:t xml:space="preserve"> </w:t>
            </w:r>
            <w:r w:rsidRPr="00C02CE4">
              <w:rPr>
                <w:rFonts w:ascii="Noto Sans" w:hAnsi="Noto Sans" w:cs="Noto Sans"/>
                <w:sz w:val="16"/>
                <w:szCs w:val="16"/>
              </w:rPr>
              <w:t>1.- La población y los prestadores de servicios de la salud identifican a los hospitales de alta especialidad como instituciones para atender problemas de mayor complejidad en salud. 2.- Los profesionales de la salud completan las plantillas de personal de los hospitales de alta especialidad</w:t>
            </w:r>
            <w:r w:rsidR="009E77FF" w:rsidRPr="00C02CE4">
              <w:rPr>
                <w:rFonts w:ascii="Noto Sans" w:hAnsi="Noto Sans" w:cs="Noto Sans"/>
                <w:sz w:val="16"/>
                <w:szCs w:val="16"/>
              </w:rPr>
              <w:t xml:space="preserve"> </w:t>
            </w:r>
            <w:r w:rsidRPr="00C02CE4">
              <w:rPr>
                <w:rFonts w:ascii="Noto Sans" w:hAnsi="Noto Sans" w:cs="Noto Sans"/>
                <w:sz w:val="16"/>
                <w:szCs w:val="16"/>
              </w:rPr>
              <w:t>1.-Existe una adecuada capacitación y actualización del personal de salud que labora en las unidades de atención médica. 2.-Existen zonas geográficas con bajo índice de violencia, delincuencia y con percepción de seguridad que permiten que las unidades de atención médica cuenten con el personal de salud completo.</w:t>
            </w:r>
          </w:p>
        </w:tc>
      </w:tr>
    </w:tbl>
    <w:p w:rsidR="00E2709D" w:rsidRDefault="00E2709D">
      <w:pPr>
        <w:spacing w:after="160" w:line="259" w:lineRule="auto"/>
        <w:rPr>
          <w:rFonts w:ascii="Noto Sans" w:hAnsi="Noto Sans" w:cs="Noto Sans"/>
          <w:sz w:val="20"/>
        </w:rPr>
      </w:pPr>
      <w:r>
        <w:rPr>
          <w:rFonts w:ascii="Noto Sans" w:hAnsi="Noto Sans" w:cs="Noto Sans"/>
          <w:sz w:val="20"/>
        </w:rPr>
        <w:br w:type="page"/>
      </w:r>
      <w:r w:rsidR="008B20EC">
        <w:rPr>
          <w:rFonts w:ascii="Noto Sans" w:hAnsi="Noto Sans" w:cs="Noto Sans"/>
          <w:sz w:val="20"/>
        </w:rPr>
        <w:lastRenderedPageBreak/>
        <w:t>Haciendo el análisis en conjunto con el árbol de objetivos:</w:t>
      </w:r>
    </w:p>
    <w:p w:rsidR="008B20EC" w:rsidRDefault="008B20EC" w:rsidP="008B20EC">
      <w:pPr>
        <w:spacing w:after="160" w:line="259" w:lineRule="auto"/>
        <w:rPr>
          <w:rFonts w:ascii="Noto Sans" w:hAnsi="Noto Sans" w:cs="Noto Sans"/>
          <w:b/>
          <w:sz w:val="20"/>
        </w:rPr>
      </w:pPr>
      <w:r w:rsidRPr="008B20EC">
        <w:rPr>
          <w:rFonts w:ascii="Noto Sans" w:hAnsi="Noto Sans" w:cs="Noto Sans"/>
          <w:b/>
          <w:sz w:val="20"/>
        </w:rPr>
        <w:t xml:space="preserve">Disminuir y/o retrasar las patologías complicadas o </w:t>
      </w:r>
      <w:r>
        <w:rPr>
          <w:rFonts w:ascii="Noto Sans" w:hAnsi="Noto Sans" w:cs="Noto Sans"/>
          <w:b/>
          <w:sz w:val="20"/>
        </w:rPr>
        <w:t>en fases avanzadas sin atención:</w:t>
      </w:r>
    </w:p>
    <w:p w:rsidR="008B20EC" w:rsidRPr="008B20EC" w:rsidRDefault="008B20EC" w:rsidP="005E6276">
      <w:pPr>
        <w:pStyle w:val="Prrafodelista"/>
        <w:numPr>
          <w:ilvl w:val="0"/>
          <w:numId w:val="2"/>
        </w:numPr>
        <w:spacing w:after="160" w:line="259" w:lineRule="auto"/>
        <w:rPr>
          <w:rFonts w:ascii="Noto Sans" w:hAnsi="Noto Sans" w:cs="Noto Sans"/>
          <w:b/>
          <w:sz w:val="20"/>
        </w:rPr>
      </w:pPr>
      <w:r w:rsidRPr="008B20EC">
        <w:rPr>
          <w:rFonts w:ascii="Noto Sans" w:hAnsi="Noto Sans" w:cs="Noto Sans"/>
          <w:sz w:val="20"/>
        </w:rPr>
        <w:t>Porcentaje de pacientes sin seguridad social valorados en la consulta externa que presentan padecimientos que requiere atención de especialidad o alta especialidad</w:t>
      </w:r>
    </w:p>
    <w:p w:rsidR="008B20EC" w:rsidRPr="008B20EC" w:rsidRDefault="008B20EC" w:rsidP="005E6276">
      <w:pPr>
        <w:pStyle w:val="Prrafodelista"/>
        <w:numPr>
          <w:ilvl w:val="0"/>
          <w:numId w:val="2"/>
        </w:numPr>
        <w:spacing w:after="160" w:line="259" w:lineRule="auto"/>
        <w:rPr>
          <w:rFonts w:ascii="Noto Sans" w:hAnsi="Noto Sans" w:cs="Noto Sans"/>
          <w:sz w:val="20"/>
        </w:rPr>
      </w:pPr>
      <w:r w:rsidRPr="008B20EC">
        <w:rPr>
          <w:rFonts w:ascii="Noto Sans" w:hAnsi="Noto Sans" w:cs="Noto Sans"/>
          <w:sz w:val="20"/>
        </w:rPr>
        <w:t>Eficacia en el otorgamiento de consulta programada (preconsulta, primera vez, subsecuentes, urgencias o admisión continua)</w:t>
      </w:r>
    </w:p>
    <w:p w:rsidR="008B20EC" w:rsidRDefault="008B20EC" w:rsidP="005E6276">
      <w:pPr>
        <w:pStyle w:val="Prrafodelista"/>
        <w:numPr>
          <w:ilvl w:val="0"/>
          <w:numId w:val="2"/>
        </w:numPr>
        <w:spacing w:after="160" w:line="259" w:lineRule="auto"/>
        <w:rPr>
          <w:rFonts w:ascii="Noto Sans" w:hAnsi="Noto Sans" w:cs="Noto Sans"/>
          <w:sz w:val="20"/>
        </w:rPr>
      </w:pPr>
      <w:r>
        <w:rPr>
          <w:rFonts w:ascii="Noto Sans" w:hAnsi="Noto Sans" w:cs="Noto Sans"/>
          <w:sz w:val="20"/>
        </w:rPr>
        <w:t>Promedio de días de estancia</w:t>
      </w:r>
    </w:p>
    <w:p w:rsidR="008B20EC" w:rsidRDefault="008B20EC" w:rsidP="005E6276">
      <w:pPr>
        <w:pStyle w:val="Prrafodelista"/>
        <w:numPr>
          <w:ilvl w:val="0"/>
          <w:numId w:val="2"/>
        </w:numPr>
        <w:spacing w:after="160" w:line="259" w:lineRule="auto"/>
        <w:rPr>
          <w:rFonts w:ascii="Noto Sans" w:hAnsi="Noto Sans" w:cs="Noto Sans"/>
          <w:sz w:val="20"/>
        </w:rPr>
      </w:pPr>
      <w:r w:rsidRPr="008B20EC">
        <w:rPr>
          <w:rFonts w:ascii="Noto Sans" w:hAnsi="Noto Sans" w:cs="Noto Sans"/>
          <w:sz w:val="20"/>
        </w:rPr>
        <w:t>Tasa de infección nosocomial por mi</w:t>
      </w:r>
      <w:r>
        <w:rPr>
          <w:rFonts w:ascii="Noto Sans" w:hAnsi="Noto Sans" w:cs="Noto Sans"/>
          <w:sz w:val="20"/>
        </w:rPr>
        <w:t>l días de estancia hospitalaria</w:t>
      </w:r>
    </w:p>
    <w:p w:rsidR="008B20EC" w:rsidRPr="008B20EC" w:rsidRDefault="008B20EC" w:rsidP="008B20EC">
      <w:pPr>
        <w:spacing w:after="160" w:line="259" w:lineRule="auto"/>
        <w:rPr>
          <w:rFonts w:ascii="Noto Sans" w:hAnsi="Noto Sans" w:cs="Noto Sans"/>
          <w:b/>
          <w:sz w:val="20"/>
        </w:rPr>
      </w:pPr>
      <w:r w:rsidRPr="008B20EC">
        <w:rPr>
          <w:rFonts w:ascii="Noto Sans" w:hAnsi="Noto Sans" w:cs="Noto Sans"/>
          <w:b/>
          <w:sz w:val="20"/>
        </w:rPr>
        <w:t>Incremento en la cobertura del programa</w:t>
      </w:r>
    </w:p>
    <w:p w:rsidR="008B20EC" w:rsidRPr="008B20EC" w:rsidRDefault="008B20EC" w:rsidP="005E6276">
      <w:pPr>
        <w:numPr>
          <w:ilvl w:val="0"/>
          <w:numId w:val="2"/>
        </w:numPr>
        <w:spacing w:after="160" w:line="259" w:lineRule="auto"/>
        <w:rPr>
          <w:rFonts w:ascii="Noto Sans" w:hAnsi="Noto Sans" w:cs="Noto Sans"/>
          <w:sz w:val="20"/>
        </w:rPr>
      </w:pPr>
      <w:r w:rsidRPr="008B20EC">
        <w:rPr>
          <w:rFonts w:ascii="Noto Sans" w:hAnsi="Noto Sans" w:cs="Noto Sans"/>
          <w:sz w:val="20"/>
        </w:rPr>
        <w:t>Proporción de consultas de primera vez respecto a preconsultas</w:t>
      </w:r>
    </w:p>
    <w:p w:rsidR="008B20EC" w:rsidRPr="008B20EC" w:rsidRDefault="008B20EC" w:rsidP="005E6276">
      <w:pPr>
        <w:numPr>
          <w:ilvl w:val="0"/>
          <w:numId w:val="2"/>
        </w:numPr>
        <w:spacing w:after="160" w:line="259" w:lineRule="auto"/>
        <w:rPr>
          <w:rFonts w:ascii="Noto Sans" w:hAnsi="Noto Sans" w:cs="Noto Sans"/>
          <w:sz w:val="20"/>
        </w:rPr>
      </w:pPr>
      <w:r w:rsidRPr="008B20EC">
        <w:rPr>
          <w:rFonts w:ascii="Noto Sans" w:hAnsi="Noto Sans" w:cs="Noto Sans"/>
          <w:sz w:val="20"/>
        </w:rPr>
        <w:t>Porcentaje de pacientes atendidos de segundo nivel</w:t>
      </w:r>
    </w:p>
    <w:p w:rsidR="008B20EC" w:rsidRDefault="008B20EC" w:rsidP="005E6276">
      <w:pPr>
        <w:numPr>
          <w:ilvl w:val="0"/>
          <w:numId w:val="2"/>
        </w:numPr>
        <w:spacing w:after="160" w:line="259" w:lineRule="auto"/>
        <w:rPr>
          <w:rFonts w:ascii="Noto Sans" w:hAnsi="Noto Sans" w:cs="Noto Sans"/>
          <w:sz w:val="20"/>
        </w:rPr>
      </w:pPr>
      <w:r w:rsidRPr="008B20EC">
        <w:rPr>
          <w:rFonts w:ascii="Noto Sans" w:hAnsi="Noto Sans" w:cs="Noto Sans"/>
          <w:sz w:val="20"/>
        </w:rPr>
        <w:t>Porcentaje de pacientes atendidos de tercer nivel</w:t>
      </w:r>
    </w:p>
    <w:p w:rsidR="008B20EC" w:rsidRDefault="008B20EC" w:rsidP="005E6276">
      <w:pPr>
        <w:numPr>
          <w:ilvl w:val="0"/>
          <w:numId w:val="2"/>
        </w:numPr>
        <w:spacing w:after="160" w:line="259" w:lineRule="auto"/>
        <w:rPr>
          <w:rFonts w:ascii="Noto Sans" w:hAnsi="Noto Sans" w:cs="Noto Sans"/>
          <w:sz w:val="20"/>
        </w:rPr>
      </w:pPr>
      <w:r w:rsidRPr="008B20EC">
        <w:rPr>
          <w:rFonts w:ascii="Noto Sans" w:hAnsi="Noto Sans" w:cs="Noto Sans"/>
          <w:sz w:val="20"/>
        </w:rPr>
        <w:t>Porcentaje de pacientes referidos por instituciones públicas de salud a los que se les apertura expediente clínico institucional</w:t>
      </w:r>
    </w:p>
    <w:p w:rsidR="008B20EC" w:rsidRPr="008B20EC" w:rsidRDefault="008B20EC" w:rsidP="008B20EC">
      <w:pPr>
        <w:spacing w:after="160" w:line="259" w:lineRule="auto"/>
        <w:rPr>
          <w:rFonts w:ascii="Noto Sans" w:hAnsi="Noto Sans" w:cs="Noto Sans"/>
          <w:b/>
          <w:sz w:val="20"/>
        </w:rPr>
      </w:pPr>
      <w:r w:rsidRPr="008B20EC">
        <w:rPr>
          <w:rFonts w:ascii="Noto Sans" w:hAnsi="Noto Sans" w:cs="Noto Sans"/>
          <w:b/>
          <w:sz w:val="20"/>
        </w:rPr>
        <w:t xml:space="preserve">Mejorar la satisfacción con la atención médica </w:t>
      </w:r>
    </w:p>
    <w:p w:rsidR="008B20EC" w:rsidRPr="008B20EC" w:rsidRDefault="008B20EC" w:rsidP="005E6276">
      <w:pPr>
        <w:pStyle w:val="Prrafodelista"/>
        <w:numPr>
          <w:ilvl w:val="0"/>
          <w:numId w:val="2"/>
        </w:numPr>
        <w:spacing w:after="160" w:line="259" w:lineRule="auto"/>
        <w:rPr>
          <w:rFonts w:ascii="Noto Sans" w:hAnsi="Noto Sans" w:cs="Noto Sans"/>
          <w:sz w:val="20"/>
        </w:rPr>
      </w:pPr>
      <w:r w:rsidRPr="008B20EC">
        <w:rPr>
          <w:rFonts w:ascii="Noto Sans" w:hAnsi="Noto Sans" w:cs="Noto Sans"/>
          <w:sz w:val="20"/>
        </w:rPr>
        <w:t>Porcentaje de usuarios con percepción de satisfacción de la calidad de la atención médica ambulatoria recibida superior a 80 puntos porcentuales </w:t>
      </w:r>
    </w:p>
    <w:p w:rsidR="008B20EC" w:rsidRPr="008B20EC" w:rsidRDefault="008B20EC" w:rsidP="005E6276">
      <w:pPr>
        <w:pStyle w:val="Prrafodelista"/>
        <w:numPr>
          <w:ilvl w:val="0"/>
          <w:numId w:val="2"/>
        </w:numPr>
        <w:spacing w:after="160" w:line="259" w:lineRule="auto"/>
        <w:rPr>
          <w:rFonts w:ascii="Noto Sans" w:hAnsi="Noto Sans" w:cs="Noto Sans"/>
          <w:sz w:val="20"/>
        </w:rPr>
      </w:pPr>
      <w:r w:rsidRPr="008B20EC">
        <w:rPr>
          <w:rFonts w:ascii="Noto Sans" w:hAnsi="Noto Sans" w:cs="Noto Sans"/>
          <w:sz w:val="20"/>
        </w:rPr>
        <w:t>Porcentaje de usuarios con percepción de satisfacción de la calidad de la atención médica hospitalaria recibida superior a 80 puntos porcentuales </w:t>
      </w:r>
    </w:p>
    <w:p w:rsidR="008B20EC" w:rsidRPr="008B20EC" w:rsidRDefault="008B20EC" w:rsidP="008B20EC">
      <w:pPr>
        <w:spacing w:after="160" w:line="259" w:lineRule="auto"/>
        <w:rPr>
          <w:rFonts w:ascii="Noto Sans" w:hAnsi="Noto Sans" w:cs="Noto Sans"/>
          <w:sz w:val="20"/>
        </w:rPr>
      </w:pPr>
    </w:p>
    <w:p w:rsidR="008B20EC" w:rsidRPr="008B20EC" w:rsidRDefault="008B20EC" w:rsidP="008B20EC">
      <w:pPr>
        <w:spacing w:after="160" w:line="259" w:lineRule="auto"/>
        <w:rPr>
          <w:rFonts w:ascii="Noto Sans" w:hAnsi="Noto Sans" w:cs="Noto Sans"/>
          <w:sz w:val="20"/>
        </w:rPr>
      </w:pPr>
    </w:p>
    <w:p w:rsidR="008B20EC" w:rsidRDefault="008B20EC">
      <w:pPr>
        <w:spacing w:after="160" w:line="259" w:lineRule="auto"/>
        <w:rPr>
          <w:rFonts w:ascii="Noto Sans" w:hAnsi="Noto Sans" w:cs="Noto Sans"/>
          <w:sz w:val="20"/>
        </w:rPr>
      </w:pPr>
    </w:p>
    <w:p w:rsidR="002324F1" w:rsidRDefault="002324F1" w:rsidP="005E6276">
      <w:pPr>
        <w:pStyle w:val="Ttulo1"/>
        <w:numPr>
          <w:ilvl w:val="0"/>
          <w:numId w:val="1"/>
        </w:numPr>
        <w:spacing w:before="120" w:after="120" w:line="276" w:lineRule="auto"/>
        <w:rPr>
          <w:rFonts w:ascii="Noto Sans" w:hAnsi="Noto Sans" w:cs="Noto Sans"/>
          <w:b/>
          <w:color w:val="1E5B4F"/>
          <w:sz w:val="22"/>
        </w:rPr>
        <w:sectPr w:rsidR="002324F1" w:rsidSect="002324F1">
          <w:headerReference w:type="default" r:id="rId28"/>
          <w:pgSz w:w="15840" w:h="12240" w:orient="landscape"/>
          <w:pgMar w:top="1701" w:right="2126" w:bottom="1701" w:left="1134" w:header="709" w:footer="709" w:gutter="0"/>
          <w:cols w:space="708"/>
          <w:docGrid w:linePitch="360"/>
        </w:sectPr>
      </w:pPr>
      <w:bookmarkStart w:id="23" w:name="_Toc201830240"/>
    </w:p>
    <w:p w:rsidR="00926F00" w:rsidRPr="00284F17" w:rsidRDefault="00926F00" w:rsidP="005E6276">
      <w:pPr>
        <w:pStyle w:val="Ttulo1"/>
        <w:numPr>
          <w:ilvl w:val="0"/>
          <w:numId w:val="1"/>
        </w:numPr>
        <w:spacing w:before="120" w:after="120" w:line="276" w:lineRule="auto"/>
        <w:rPr>
          <w:rFonts w:ascii="Noto Sans" w:hAnsi="Noto Sans" w:cs="Noto Sans"/>
          <w:b/>
          <w:color w:val="1E5B4F"/>
          <w:sz w:val="22"/>
        </w:rPr>
      </w:pPr>
      <w:r w:rsidRPr="00284F17">
        <w:rPr>
          <w:rFonts w:ascii="Noto Sans" w:hAnsi="Noto Sans" w:cs="Noto Sans"/>
          <w:b/>
          <w:color w:val="1E5B4F"/>
          <w:sz w:val="22"/>
        </w:rPr>
        <w:lastRenderedPageBreak/>
        <w:t>Análisis presupuestal</w:t>
      </w:r>
      <w:bookmarkEnd w:id="23"/>
    </w:p>
    <w:p w:rsidR="00806A11" w:rsidRPr="00806A11" w:rsidRDefault="00806A11" w:rsidP="00CD4882">
      <w:pPr>
        <w:spacing w:before="120" w:after="120" w:line="276" w:lineRule="auto"/>
        <w:rPr>
          <w:rFonts w:ascii="Noto Sans" w:hAnsi="Noto Sans" w:cs="Noto Sans"/>
          <w:i/>
          <w:iCs/>
          <w:sz w:val="20"/>
          <w:szCs w:val="22"/>
        </w:rPr>
      </w:pPr>
    </w:p>
    <w:tbl>
      <w:tblPr>
        <w:tblW w:w="9214" w:type="dxa"/>
        <w:jc w:val="center"/>
        <w:tblLook w:val="04A0" w:firstRow="1" w:lastRow="0" w:firstColumn="1" w:lastColumn="0" w:noHBand="0" w:noVBand="1"/>
      </w:tblPr>
      <w:tblGrid>
        <w:gridCol w:w="9214"/>
      </w:tblGrid>
      <w:tr w:rsidR="005C4290" w:rsidRPr="00F61BEE" w:rsidTr="006F7F21">
        <w:trPr>
          <w:trHeight w:val="369"/>
          <w:jc w:val="center"/>
        </w:trPr>
        <w:tc>
          <w:tcPr>
            <w:tcW w:w="9214" w:type="dxa"/>
            <w:shd w:val="clear" w:color="auto" w:fill="F2F2F2"/>
            <w:vAlign w:val="center"/>
          </w:tcPr>
          <w:p w:rsidR="005C4290" w:rsidRPr="00F61BEE" w:rsidRDefault="005C4290" w:rsidP="00FD1274">
            <w:pPr>
              <w:pStyle w:val="Textocuadro"/>
              <w:spacing w:before="0"/>
              <w:jc w:val="center"/>
              <w:rPr>
                <w:rFonts w:ascii="Noto Sans" w:hAnsi="Noto Sans" w:cs="Noto Sans"/>
                <w:sz w:val="16"/>
                <w:szCs w:val="16"/>
              </w:rPr>
            </w:pPr>
            <w:r w:rsidRPr="00F61BEE">
              <w:rPr>
                <w:rFonts w:ascii="Noto Sans" w:eastAsiaTheme="minorHAnsi" w:hAnsi="Noto Sans" w:cs="Noto Sans"/>
                <w:b/>
                <w:sz w:val="16"/>
                <w:szCs w:val="16"/>
              </w:rPr>
              <w:t>Recursos presupuestarios por capítulo de gasto</w:t>
            </w:r>
          </w:p>
        </w:tc>
      </w:tr>
      <w:tr w:rsidR="005C4290" w:rsidRPr="00F61BEE" w:rsidTr="006F7F21">
        <w:trPr>
          <w:trHeight w:val="3319"/>
          <w:jc w:val="center"/>
        </w:trPr>
        <w:tc>
          <w:tcPr>
            <w:tcW w:w="9214" w:type="dxa"/>
          </w:tcPr>
          <w:p w:rsidR="005C4290" w:rsidRPr="00F61BEE" w:rsidRDefault="005C4290" w:rsidP="006F7F21">
            <w:pPr>
              <w:rPr>
                <w:rFonts w:ascii="Noto Sans" w:hAnsi="Noto Sans" w:cs="Noto Sans"/>
                <w:sz w:val="16"/>
                <w:szCs w:val="16"/>
                <w:lang w:val="es-E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4"/>
              <w:gridCol w:w="2874"/>
            </w:tblGrid>
            <w:tr w:rsidR="005C4290" w:rsidRPr="00F61BEE" w:rsidTr="0038247D">
              <w:trPr>
                <w:jc w:val="center"/>
              </w:trPr>
              <w:tc>
                <w:tcPr>
                  <w:tcW w:w="4984" w:type="dxa"/>
                  <w:shd w:val="clear" w:color="auto" w:fill="1E5B4F"/>
                  <w:vAlign w:val="center"/>
                </w:tcPr>
                <w:p w:rsidR="005C4290" w:rsidRPr="0038247D" w:rsidRDefault="005C4290" w:rsidP="006F7F21">
                  <w:pPr>
                    <w:jc w:val="center"/>
                    <w:rPr>
                      <w:rFonts w:ascii="Noto Sans" w:hAnsi="Noto Sans" w:cs="Noto Sans"/>
                      <w:b/>
                      <w:iCs/>
                      <w:color w:val="FFFFFF" w:themeColor="background1"/>
                      <w:sz w:val="16"/>
                      <w:szCs w:val="16"/>
                      <w:lang w:val="es-ES"/>
                    </w:rPr>
                  </w:pPr>
                  <w:r w:rsidRPr="0038247D">
                    <w:rPr>
                      <w:rFonts w:ascii="Noto Sans" w:hAnsi="Noto Sans" w:cs="Noto Sans"/>
                      <w:b/>
                      <w:iCs/>
                      <w:color w:val="FFFFFF" w:themeColor="background1"/>
                      <w:sz w:val="16"/>
                      <w:szCs w:val="16"/>
                      <w:lang w:val="es-ES"/>
                    </w:rPr>
                    <w:t>Capítulo</w:t>
                  </w:r>
                </w:p>
              </w:tc>
              <w:tc>
                <w:tcPr>
                  <w:tcW w:w="2874" w:type="dxa"/>
                  <w:shd w:val="clear" w:color="auto" w:fill="1E5B4F"/>
                  <w:vAlign w:val="center"/>
                </w:tcPr>
                <w:p w:rsidR="005C4290" w:rsidRPr="0038247D" w:rsidRDefault="005C4290" w:rsidP="006F7F21">
                  <w:pPr>
                    <w:jc w:val="center"/>
                    <w:rPr>
                      <w:rFonts w:ascii="Noto Sans" w:hAnsi="Noto Sans" w:cs="Noto Sans"/>
                      <w:b/>
                      <w:iCs/>
                      <w:color w:val="FFFFFF" w:themeColor="background1"/>
                      <w:sz w:val="16"/>
                      <w:szCs w:val="16"/>
                      <w:lang w:val="es-ES"/>
                    </w:rPr>
                  </w:pPr>
                  <w:r w:rsidRPr="0038247D">
                    <w:rPr>
                      <w:rFonts w:ascii="Noto Sans" w:hAnsi="Noto Sans" w:cs="Noto Sans"/>
                      <w:b/>
                      <w:iCs/>
                      <w:color w:val="FFFFFF" w:themeColor="background1"/>
                      <w:sz w:val="16"/>
                      <w:szCs w:val="16"/>
                      <w:lang w:val="es-ES"/>
                    </w:rPr>
                    <w:t>Monto en pesos corrientes</w:t>
                  </w:r>
                </w:p>
              </w:tc>
            </w:tr>
            <w:tr w:rsidR="005C4290" w:rsidRPr="00F61BEE" w:rsidTr="006F7F21">
              <w:trPr>
                <w:jc w:val="center"/>
              </w:trPr>
              <w:tc>
                <w:tcPr>
                  <w:tcW w:w="4984" w:type="dxa"/>
                  <w:shd w:val="clear" w:color="auto" w:fill="auto"/>
                </w:tcPr>
                <w:p w:rsidR="005C4290" w:rsidRPr="00F61BEE" w:rsidRDefault="005C4290" w:rsidP="006F7F21">
                  <w:pPr>
                    <w:rPr>
                      <w:rFonts w:ascii="Noto Sans" w:eastAsia="Cambria" w:hAnsi="Noto Sans" w:cs="Noto Sans"/>
                      <w:sz w:val="16"/>
                      <w:szCs w:val="16"/>
                    </w:rPr>
                  </w:pPr>
                  <w:r w:rsidRPr="00F61BEE">
                    <w:rPr>
                      <w:rFonts w:ascii="Noto Sans" w:eastAsia="Cambria" w:hAnsi="Noto Sans" w:cs="Noto Sans"/>
                      <w:sz w:val="16"/>
                      <w:szCs w:val="16"/>
                    </w:rPr>
                    <w:t>1000 Servicios personales</w:t>
                  </w:r>
                </w:p>
              </w:tc>
              <w:tc>
                <w:tcPr>
                  <w:tcW w:w="2874" w:type="dxa"/>
                  <w:shd w:val="clear" w:color="auto" w:fill="auto"/>
                </w:tcPr>
                <w:p w:rsidR="005C4290" w:rsidRPr="00F61BEE" w:rsidRDefault="009E38F7" w:rsidP="006F7F21">
                  <w:pPr>
                    <w:tabs>
                      <w:tab w:val="decimal" w:pos="1362"/>
                    </w:tabs>
                    <w:rPr>
                      <w:rFonts w:ascii="Noto Sans" w:eastAsia="Cambria" w:hAnsi="Noto Sans" w:cs="Noto Sans"/>
                      <w:sz w:val="16"/>
                      <w:szCs w:val="16"/>
                    </w:rPr>
                  </w:pPr>
                  <w:r w:rsidRPr="009E38F7">
                    <w:rPr>
                      <w:rFonts w:ascii="Noto Sans" w:eastAsia="Cambria" w:hAnsi="Noto Sans" w:cs="Noto Sans"/>
                      <w:sz w:val="16"/>
                      <w:szCs w:val="16"/>
                    </w:rPr>
                    <w:t>15,560,705,759</w:t>
                  </w:r>
                  <w:r>
                    <w:rPr>
                      <w:rFonts w:ascii="Noto Sans" w:eastAsia="Cambria" w:hAnsi="Noto Sans" w:cs="Noto Sans"/>
                      <w:sz w:val="16"/>
                      <w:szCs w:val="16"/>
                    </w:rPr>
                    <w:t>.00</w:t>
                  </w:r>
                </w:p>
              </w:tc>
            </w:tr>
            <w:tr w:rsidR="005C4290" w:rsidRPr="00F61BEE" w:rsidTr="006F7F21">
              <w:trPr>
                <w:jc w:val="center"/>
              </w:trPr>
              <w:tc>
                <w:tcPr>
                  <w:tcW w:w="4984" w:type="dxa"/>
                  <w:shd w:val="clear" w:color="auto" w:fill="auto"/>
                </w:tcPr>
                <w:p w:rsidR="005C4290" w:rsidRPr="00F61BEE" w:rsidRDefault="005C4290" w:rsidP="006F7F21">
                  <w:pPr>
                    <w:rPr>
                      <w:rFonts w:ascii="Noto Sans" w:eastAsia="Cambria" w:hAnsi="Noto Sans" w:cs="Noto Sans"/>
                      <w:sz w:val="16"/>
                      <w:szCs w:val="16"/>
                    </w:rPr>
                  </w:pPr>
                  <w:r w:rsidRPr="00F61BEE">
                    <w:rPr>
                      <w:rFonts w:ascii="Noto Sans" w:eastAsia="Cambria" w:hAnsi="Noto Sans" w:cs="Noto Sans"/>
                      <w:sz w:val="16"/>
                      <w:szCs w:val="16"/>
                    </w:rPr>
                    <w:t>2000 Materiales y suministros</w:t>
                  </w:r>
                </w:p>
              </w:tc>
              <w:tc>
                <w:tcPr>
                  <w:tcW w:w="2874" w:type="dxa"/>
                  <w:shd w:val="clear" w:color="auto" w:fill="auto"/>
                </w:tcPr>
                <w:p w:rsidR="005C4290" w:rsidRPr="00F61BEE" w:rsidRDefault="009E38F7" w:rsidP="006F7F21">
                  <w:pPr>
                    <w:tabs>
                      <w:tab w:val="decimal" w:pos="1362"/>
                    </w:tabs>
                    <w:rPr>
                      <w:rFonts w:ascii="Noto Sans" w:eastAsia="Cambria" w:hAnsi="Noto Sans" w:cs="Noto Sans"/>
                      <w:sz w:val="16"/>
                      <w:szCs w:val="16"/>
                    </w:rPr>
                  </w:pPr>
                  <w:r w:rsidRPr="009E38F7">
                    <w:rPr>
                      <w:rFonts w:ascii="Noto Sans" w:eastAsia="Cambria" w:hAnsi="Noto Sans" w:cs="Noto Sans"/>
                      <w:sz w:val="16"/>
                      <w:szCs w:val="16"/>
                    </w:rPr>
                    <w:t>4,440,048,312</w:t>
                  </w:r>
                  <w:r>
                    <w:rPr>
                      <w:rFonts w:ascii="Noto Sans" w:eastAsia="Cambria" w:hAnsi="Noto Sans" w:cs="Noto Sans"/>
                      <w:sz w:val="16"/>
                      <w:szCs w:val="16"/>
                    </w:rPr>
                    <w:t>.00</w:t>
                  </w:r>
                </w:p>
              </w:tc>
            </w:tr>
            <w:tr w:rsidR="005C4290" w:rsidRPr="00F61BEE" w:rsidTr="006F7F21">
              <w:trPr>
                <w:jc w:val="center"/>
              </w:trPr>
              <w:tc>
                <w:tcPr>
                  <w:tcW w:w="4984" w:type="dxa"/>
                  <w:shd w:val="clear" w:color="auto" w:fill="auto"/>
                </w:tcPr>
                <w:p w:rsidR="005C4290" w:rsidRPr="00F61BEE" w:rsidRDefault="005C4290" w:rsidP="006F7F21">
                  <w:pPr>
                    <w:rPr>
                      <w:rFonts w:ascii="Noto Sans" w:eastAsia="Cambria" w:hAnsi="Noto Sans" w:cs="Noto Sans"/>
                      <w:sz w:val="16"/>
                      <w:szCs w:val="16"/>
                    </w:rPr>
                  </w:pPr>
                  <w:r w:rsidRPr="00F61BEE">
                    <w:rPr>
                      <w:rFonts w:ascii="Noto Sans" w:eastAsia="Cambria" w:hAnsi="Noto Sans" w:cs="Noto Sans"/>
                      <w:sz w:val="16"/>
                      <w:szCs w:val="16"/>
                    </w:rPr>
                    <w:t>3000 Servicios generales</w:t>
                  </w:r>
                </w:p>
              </w:tc>
              <w:tc>
                <w:tcPr>
                  <w:tcW w:w="2874" w:type="dxa"/>
                  <w:shd w:val="clear" w:color="auto" w:fill="auto"/>
                </w:tcPr>
                <w:p w:rsidR="005C4290" w:rsidRPr="00F61BEE" w:rsidRDefault="009E38F7" w:rsidP="006F7F21">
                  <w:pPr>
                    <w:tabs>
                      <w:tab w:val="decimal" w:pos="1362"/>
                    </w:tabs>
                    <w:rPr>
                      <w:rFonts w:ascii="Noto Sans" w:eastAsia="Cambria" w:hAnsi="Noto Sans" w:cs="Noto Sans"/>
                      <w:sz w:val="16"/>
                      <w:szCs w:val="16"/>
                    </w:rPr>
                  </w:pPr>
                  <w:r w:rsidRPr="009E38F7">
                    <w:rPr>
                      <w:rFonts w:ascii="Noto Sans" w:eastAsia="Cambria" w:hAnsi="Noto Sans" w:cs="Noto Sans"/>
                      <w:sz w:val="16"/>
                      <w:szCs w:val="16"/>
                    </w:rPr>
                    <w:t>2,351,319,727</w:t>
                  </w:r>
                  <w:r>
                    <w:rPr>
                      <w:rFonts w:ascii="Noto Sans" w:eastAsia="Cambria" w:hAnsi="Noto Sans" w:cs="Noto Sans"/>
                      <w:sz w:val="16"/>
                      <w:szCs w:val="16"/>
                    </w:rPr>
                    <w:t>.00</w:t>
                  </w:r>
                </w:p>
              </w:tc>
            </w:tr>
            <w:tr w:rsidR="005C4290" w:rsidRPr="00F61BEE" w:rsidTr="006F7F21">
              <w:trPr>
                <w:jc w:val="center"/>
              </w:trPr>
              <w:tc>
                <w:tcPr>
                  <w:tcW w:w="4984" w:type="dxa"/>
                  <w:shd w:val="clear" w:color="auto" w:fill="auto"/>
                </w:tcPr>
                <w:p w:rsidR="005C4290" w:rsidRPr="00F61BEE" w:rsidRDefault="005C4290" w:rsidP="006F7F21">
                  <w:pPr>
                    <w:rPr>
                      <w:rFonts w:ascii="Noto Sans" w:eastAsia="Cambria" w:hAnsi="Noto Sans" w:cs="Noto Sans"/>
                      <w:sz w:val="16"/>
                      <w:szCs w:val="16"/>
                    </w:rPr>
                  </w:pPr>
                  <w:r w:rsidRPr="00F61BEE">
                    <w:rPr>
                      <w:rFonts w:ascii="Noto Sans" w:eastAsia="Cambria" w:hAnsi="Noto Sans" w:cs="Noto Sans"/>
                      <w:sz w:val="16"/>
                      <w:szCs w:val="16"/>
                    </w:rPr>
                    <w:t>7000 Inversiones financieras y otras provisiones</w:t>
                  </w:r>
                </w:p>
              </w:tc>
              <w:tc>
                <w:tcPr>
                  <w:tcW w:w="2874" w:type="dxa"/>
                  <w:shd w:val="clear" w:color="auto" w:fill="auto"/>
                </w:tcPr>
                <w:p w:rsidR="005C4290" w:rsidRPr="00F61BEE" w:rsidRDefault="009E38F7" w:rsidP="006F7F21">
                  <w:pPr>
                    <w:tabs>
                      <w:tab w:val="decimal" w:pos="1362"/>
                    </w:tabs>
                    <w:rPr>
                      <w:rFonts w:ascii="Noto Sans" w:eastAsia="Cambria" w:hAnsi="Noto Sans" w:cs="Noto Sans"/>
                      <w:sz w:val="16"/>
                      <w:szCs w:val="16"/>
                    </w:rPr>
                  </w:pPr>
                  <w:r w:rsidRPr="009E38F7">
                    <w:rPr>
                      <w:rFonts w:ascii="Noto Sans" w:eastAsia="Cambria" w:hAnsi="Noto Sans" w:cs="Noto Sans"/>
                      <w:sz w:val="16"/>
                      <w:szCs w:val="16"/>
                    </w:rPr>
                    <w:t>8,158,261,656</w:t>
                  </w:r>
                  <w:r>
                    <w:rPr>
                      <w:rFonts w:ascii="Noto Sans" w:eastAsia="Cambria" w:hAnsi="Noto Sans" w:cs="Noto Sans"/>
                      <w:sz w:val="16"/>
                      <w:szCs w:val="16"/>
                    </w:rPr>
                    <w:t>.00</w:t>
                  </w:r>
                </w:p>
              </w:tc>
            </w:tr>
            <w:tr w:rsidR="005C4290" w:rsidRPr="00E2709D" w:rsidTr="006F7F21">
              <w:trPr>
                <w:jc w:val="center"/>
              </w:trPr>
              <w:tc>
                <w:tcPr>
                  <w:tcW w:w="4984" w:type="dxa"/>
                  <w:shd w:val="clear" w:color="auto" w:fill="auto"/>
                </w:tcPr>
                <w:p w:rsidR="005C4290" w:rsidRPr="00E2709D" w:rsidRDefault="00E2709D" w:rsidP="006F7F21">
                  <w:pPr>
                    <w:rPr>
                      <w:rFonts w:ascii="Noto Sans" w:eastAsia="Cambria" w:hAnsi="Noto Sans" w:cs="Noto Sans"/>
                      <w:b/>
                      <w:sz w:val="16"/>
                      <w:szCs w:val="16"/>
                    </w:rPr>
                  </w:pPr>
                  <w:r>
                    <w:rPr>
                      <w:rFonts w:ascii="Noto Sans" w:eastAsia="Cambria" w:hAnsi="Noto Sans" w:cs="Noto Sans"/>
                      <w:b/>
                      <w:sz w:val="16"/>
                      <w:szCs w:val="16"/>
                    </w:rPr>
                    <w:t>Total</w:t>
                  </w:r>
                </w:p>
              </w:tc>
              <w:tc>
                <w:tcPr>
                  <w:tcW w:w="2874" w:type="dxa"/>
                  <w:shd w:val="clear" w:color="auto" w:fill="auto"/>
                </w:tcPr>
                <w:p w:rsidR="005C4290" w:rsidRPr="00E2709D" w:rsidRDefault="009E38F7" w:rsidP="006F7F21">
                  <w:pPr>
                    <w:tabs>
                      <w:tab w:val="decimal" w:pos="1362"/>
                    </w:tabs>
                    <w:rPr>
                      <w:rFonts w:ascii="Noto Sans" w:eastAsia="Cambria" w:hAnsi="Noto Sans" w:cs="Noto Sans"/>
                      <w:b/>
                      <w:sz w:val="16"/>
                      <w:szCs w:val="16"/>
                    </w:rPr>
                  </w:pPr>
                  <w:r w:rsidRPr="009E38F7">
                    <w:rPr>
                      <w:rFonts w:ascii="Noto Sans" w:eastAsia="Cambria" w:hAnsi="Noto Sans" w:cs="Noto Sans"/>
                      <w:b/>
                      <w:sz w:val="16"/>
                      <w:szCs w:val="16"/>
                    </w:rPr>
                    <w:t>30,510,335,454</w:t>
                  </w:r>
                  <w:r>
                    <w:rPr>
                      <w:rFonts w:ascii="Noto Sans" w:eastAsia="Cambria" w:hAnsi="Noto Sans" w:cs="Noto Sans"/>
                      <w:b/>
                      <w:sz w:val="16"/>
                      <w:szCs w:val="16"/>
                    </w:rPr>
                    <w:t>.00</w:t>
                  </w:r>
                </w:p>
              </w:tc>
            </w:tr>
          </w:tbl>
          <w:p w:rsidR="005C4290" w:rsidRPr="00F61BEE" w:rsidRDefault="005C4290" w:rsidP="006F7F21">
            <w:pPr>
              <w:rPr>
                <w:rFonts w:ascii="Noto Sans" w:hAnsi="Noto Sans" w:cs="Noto Sans"/>
                <w:sz w:val="16"/>
                <w:szCs w:val="16"/>
                <w:lang w:val="es-ES"/>
              </w:rPr>
            </w:pPr>
          </w:p>
        </w:tc>
      </w:tr>
      <w:tr w:rsidR="005C4290" w:rsidRPr="00F61BEE" w:rsidTr="006F7F21">
        <w:trPr>
          <w:trHeight w:val="369"/>
          <w:jc w:val="center"/>
        </w:trPr>
        <w:tc>
          <w:tcPr>
            <w:tcW w:w="9214" w:type="dxa"/>
            <w:tcBorders>
              <w:top w:val="nil"/>
              <w:left w:val="nil"/>
              <w:right w:val="nil"/>
            </w:tcBorders>
            <w:shd w:val="clear" w:color="auto" w:fill="F2F2F2"/>
            <w:vAlign w:val="center"/>
            <w:hideMark/>
          </w:tcPr>
          <w:p w:rsidR="005C4290" w:rsidRPr="00F61BEE" w:rsidRDefault="005C4290" w:rsidP="00FD1274">
            <w:pPr>
              <w:pStyle w:val="Textocuadro"/>
              <w:spacing w:before="0"/>
              <w:jc w:val="center"/>
              <w:rPr>
                <w:rFonts w:ascii="Noto Sans" w:hAnsi="Noto Sans" w:cs="Noto Sans"/>
                <w:b/>
                <w:bCs/>
                <w:sz w:val="16"/>
                <w:szCs w:val="16"/>
              </w:rPr>
            </w:pPr>
            <w:r w:rsidRPr="00F61BEE">
              <w:rPr>
                <w:rFonts w:ascii="Noto Sans" w:hAnsi="Noto Sans" w:cs="Noto Sans"/>
                <w:b/>
                <w:bCs/>
                <w:sz w:val="16"/>
                <w:szCs w:val="16"/>
              </w:rPr>
              <w:t>Fuente u origen de los recursos</w:t>
            </w:r>
          </w:p>
        </w:tc>
      </w:tr>
      <w:tr w:rsidR="005C4290" w:rsidRPr="00F61BEE" w:rsidTr="00F61BEE">
        <w:trPr>
          <w:trHeight w:val="1710"/>
          <w:jc w:val="center"/>
        </w:trPr>
        <w:tc>
          <w:tcPr>
            <w:tcW w:w="9214" w:type="dxa"/>
            <w:shd w:val="clear" w:color="auto" w:fill="FFFFFF" w:themeFill="background1"/>
          </w:tcPr>
          <w:p w:rsidR="005C4290" w:rsidRPr="00F61BEE" w:rsidRDefault="005C4290" w:rsidP="006F7F21">
            <w:pPr>
              <w:rPr>
                <w:rFonts w:ascii="Noto Sans" w:hAnsi="Noto Sans" w:cs="Noto Sans"/>
                <w:sz w:val="16"/>
                <w:szCs w:val="16"/>
                <w:lang w:val="es-ES"/>
              </w:rPr>
            </w:pPr>
          </w:p>
          <w:tbl>
            <w:tblPr>
              <w:tblStyle w:val="Tablaconcuadrcula"/>
              <w:tblW w:w="0" w:type="auto"/>
              <w:jc w:val="center"/>
              <w:tblLook w:val="04A0" w:firstRow="1" w:lastRow="0" w:firstColumn="1" w:lastColumn="0" w:noHBand="0" w:noVBand="1"/>
            </w:tblPr>
            <w:tblGrid>
              <w:gridCol w:w="3642"/>
              <w:gridCol w:w="4324"/>
            </w:tblGrid>
            <w:tr w:rsidR="005C4290" w:rsidRPr="00F61BEE" w:rsidTr="0038247D">
              <w:trPr>
                <w:trHeight w:val="210"/>
                <w:jc w:val="center"/>
              </w:trPr>
              <w:tc>
                <w:tcPr>
                  <w:tcW w:w="3642" w:type="dxa"/>
                  <w:shd w:val="clear" w:color="auto" w:fill="1E5B4F"/>
                  <w:vAlign w:val="center"/>
                </w:tcPr>
                <w:p w:rsidR="005C4290" w:rsidRPr="0038247D" w:rsidRDefault="005C4290" w:rsidP="006F7F21">
                  <w:pPr>
                    <w:jc w:val="center"/>
                    <w:rPr>
                      <w:rFonts w:ascii="Noto Sans" w:hAnsi="Noto Sans" w:cs="Noto Sans"/>
                      <w:b/>
                      <w:iCs/>
                      <w:color w:val="FFFFFF" w:themeColor="background1"/>
                      <w:sz w:val="16"/>
                      <w:szCs w:val="16"/>
                      <w:lang w:val="es-ES"/>
                    </w:rPr>
                  </w:pPr>
                  <w:r w:rsidRPr="0038247D">
                    <w:rPr>
                      <w:rFonts w:ascii="Noto Sans" w:hAnsi="Noto Sans" w:cs="Noto Sans"/>
                      <w:b/>
                      <w:iCs/>
                      <w:color w:val="FFFFFF" w:themeColor="background1"/>
                      <w:sz w:val="16"/>
                      <w:szCs w:val="16"/>
                      <w:lang w:val="es-ES"/>
                    </w:rPr>
                    <w:t>Fuente de Recursos</w:t>
                  </w:r>
                </w:p>
              </w:tc>
              <w:tc>
                <w:tcPr>
                  <w:tcW w:w="4324" w:type="dxa"/>
                  <w:shd w:val="clear" w:color="auto" w:fill="1E5B4F"/>
                  <w:vAlign w:val="center"/>
                </w:tcPr>
                <w:p w:rsidR="005C4290" w:rsidRPr="0038247D" w:rsidRDefault="005C4290" w:rsidP="006F7F21">
                  <w:pPr>
                    <w:jc w:val="center"/>
                    <w:rPr>
                      <w:rFonts w:ascii="Noto Sans" w:hAnsi="Noto Sans" w:cs="Noto Sans"/>
                      <w:b/>
                      <w:iCs/>
                      <w:color w:val="FFFFFF" w:themeColor="background1"/>
                      <w:sz w:val="16"/>
                      <w:szCs w:val="16"/>
                      <w:lang w:val="es-ES"/>
                    </w:rPr>
                  </w:pPr>
                  <w:r w:rsidRPr="0038247D">
                    <w:rPr>
                      <w:rFonts w:ascii="Noto Sans" w:hAnsi="Noto Sans" w:cs="Noto Sans"/>
                      <w:b/>
                      <w:iCs/>
                      <w:color w:val="FFFFFF" w:themeColor="background1"/>
                      <w:sz w:val="16"/>
                      <w:szCs w:val="16"/>
                      <w:lang w:val="es-ES"/>
                    </w:rPr>
                    <w:t>Porcentaje respecto al presupuesto estimado</w:t>
                  </w:r>
                </w:p>
              </w:tc>
            </w:tr>
            <w:tr w:rsidR="005C4290" w:rsidRPr="00F61BEE" w:rsidTr="006F7F21">
              <w:trPr>
                <w:trHeight w:val="210"/>
                <w:jc w:val="center"/>
              </w:trPr>
              <w:tc>
                <w:tcPr>
                  <w:tcW w:w="3642" w:type="dxa"/>
                  <w:vAlign w:val="center"/>
                </w:tcPr>
                <w:p w:rsidR="005C4290" w:rsidRPr="00F61BEE" w:rsidRDefault="005C4290" w:rsidP="006F7F21">
                  <w:pPr>
                    <w:rPr>
                      <w:rFonts w:ascii="Noto Sans" w:eastAsia="Cambria" w:hAnsi="Noto Sans" w:cs="Noto Sans"/>
                      <w:sz w:val="16"/>
                      <w:szCs w:val="16"/>
                    </w:rPr>
                  </w:pPr>
                  <w:r w:rsidRPr="00F61BEE">
                    <w:rPr>
                      <w:rFonts w:ascii="Noto Sans" w:eastAsia="Cambria" w:hAnsi="Noto Sans" w:cs="Noto Sans"/>
                      <w:sz w:val="16"/>
                      <w:szCs w:val="16"/>
                    </w:rPr>
                    <w:t>Recursos Fiscales</w:t>
                  </w:r>
                </w:p>
              </w:tc>
              <w:tc>
                <w:tcPr>
                  <w:tcW w:w="4324" w:type="dxa"/>
                  <w:vAlign w:val="center"/>
                </w:tcPr>
                <w:p w:rsidR="005C4290" w:rsidRPr="00F61BEE" w:rsidRDefault="009E38F7" w:rsidP="006F7F21">
                  <w:pPr>
                    <w:jc w:val="center"/>
                    <w:rPr>
                      <w:rFonts w:ascii="Noto Sans" w:eastAsia="Cambria" w:hAnsi="Noto Sans" w:cs="Noto Sans"/>
                      <w:sz w:val="16"/>
                      <w:szCs w:val="16"/>
                    </w:rPr>
                  </w:pPr>
                  <w:r>
                    <w:rPr>
                      <w:rFonts w:ascii="Noto Sans" w:eastAsia="Cambria" w:hAnsi="Noto Sans" w:cs="Noto Sans"/>
                      <w:sz w:val="16"/>
                      <w:szCs w:val="16"/>
                    </w:rPr>
                    <w:t>100</w:t>
                  </w:r>
                </w:p>
              </w:tc>
            </w:tr>
            <w:tr w:rsidR="005C4290" w:rsidRPr="00F61BEE" w:rsidTr="006F7F21">
              <w:trPr>
                <w:trHeight w:val="210"/>
                <w:jc w:val="center"/>
              </w:trPr>
              <w:tc>
                <w:tcPr>
                  <w:tcW w:w="3642" w:type="dxa"/>
                  <w:vAlign w:val="center"/>
                </w:tcPr>
                <w:p w:rsidR="005C4290" w:rsidRPr="00F61BEE" w:rsidRDefault="005C4290" w:rsidP="006F7F21">
                  <w:pPr>
                    <w:rPr>
                      <w:rFonts w:ascii="Noto Sans" w:eastAsia="Cambria" w:hAnsi="Noto Sans" w:cs="Noto Sans"/>
                      <w:sz w:val="16"/>
                      <w:szCs w:val="16"/>
                    </w:rPr>
                  </w:pPr>
                  <w:r w:rsidRPr="00F61BEE">
                    <w:rPr>
                      <w:rFonts w:ascii="Noto Sans" w:eastAsia="Cambria" w:hAnsi="Noto Sans" w:cs="Noto Sans"/>
                      <w:sz w:val="16"/>
                      <w:szCs w:val="16"/>
                    </w:rPr>
                    <w:t>Otros recursos (especificar fuente(s))</w:t>
                  </w:r>
                </w:p>
              </w:tc>
              <w:tc>
                <w:tcPr>
                  <w:tcW w:w="4324" w:type="dxa"/>
                  <w:vAlign w:val="center"/>
                </w:tcPr>
                <w:p w:rsidR="005C4290" w:rsidRPr="00F61BEE" w:rsidRDefault="009E38F7" w:rsidP="006F7F21">
                  <w:pPr>
                    <w:jc w:val="center"/>
                    <w:rPr>
                      <w:rFonts w:ascii="Noto Sans" w:eastAsia="Cambria" w:hAnsi="Noto Sans" w:cs="Noto Sans"/>
                      <w:sz w:val="16"/>
                      <w:szCs w:val="16"/>
                    </w:rPr>
                  </w:pPr>
                  <w:r>
                    <w:rPr>
                      <w:rFonts w:ascii="Noto Sans" w:eastAsia="Cambria" w:hAnsi="Noto Sans" w:cs="Noto Sans"/>
                      <w:sz w:val="16"/>
                      <w:szCs w:val="16"/>
                    </w:rPr>
                    <w:t>0</w:t>
                  </w:r>
                </w:p>
              </w:tc>
            </w:tr>
            <w:tr w:rsidR="005C4290" w:rsidRPr="00E2709D" w:rsidTr="006F7F21">
              <w:trPr>
                <w:trHeight w:val="210"/>
                <w:jc w:val="center"/>
              </w:trPr>
              <w:tc>
                <w:tcPr>
                  <w:tcW w:w="3642" w:type="dxa"/>
                  <w:vAlign w:val="center"/>
                </w:tcPr>
                <w:p w:rsidR="005C4290" w:rsidRPr="00E2709D" w:rsidRDefault="005C4290" w:rsidP="006F7F21">
                  <w:pPr>
                    <w:rPr>
                      <w:rFonts w:ascii="Noto Sans" w:eastAsia="Cambria" w:hAnsi="Noto Sans" w:cs="Noto Sans"/>
                      <w:b/>
                      <w:sz w:val="16"/>
                      <w:szCs w:val="16"/>
                    </w:rPr>
                  </w:pPr>
                  <w:r w:rsidRPr="00E2709D">
                    <w:rPr>
                      <w:rFonts w:ascii="Noto Sans" w:eastAsia="Cambria" w:hAnsi="Noto Sans" w:cs="Noto Sans"/>
                      <w:b/>
                      <w:sz w:val="16"/>
                      <w:szCs w:val="16"/>
                    </w:rPr>
                    <w:t>Total</w:t>
                  </w:r>
                </w:p>
              </w:tc>
              <w:tc>
                <w:tcPr>
                  <w:tcW w:w="4324" w:type="dxa"/>
                  <w:vAlign w:val="center"/>
                </w:tcPr>
                <w:p w:rsidR="005C4290" w:rsidRPr="00E2709D" w:rsidRDefault="005C4290" w:rsidP="006F7F21">
                  <w:pPr>
                    <w:jc w:val="center"/>
                    <w:rPr>
                      <w:rFonts w:ascii="Noto Sans" w:eastAsia="Cambria" w:hAnsi="Noto Sans" w:cs="Noto Sans"/>
                      <w:b/>
                      <w:sz w:val="16"/>
                      <w:szCs w:val="16"/>
                    </w:rPr>
                  </w:pPr>
                  <w:r w:rsidRPr="00E2709D">
                    <w:rPr>
                      <w:rFonts w:ascii="Noto Sans" w:eastAsia="Cambria" w:hAnsi="Noto Sans" w:cs="Noto Sans"/>
                      <w:b/>
                      <w:sz w:val="16"/>
                      <w:szCs w:val="16"/>
                    </w:rPr>
                    <w:t>100</w:t>
                  </w:r>
                </w:p>
              </w:tc>
            </w:tr>
          </w:tbl>
          <w:p w:rsidR="005C4290" w:rsidRPr="00F61BEE" w:rsidRDefault="005C4290" w:rsidP="006F7F21">
            <w:pPr>
              <w:pStyle w:val="Textocuadro"/>
              <w:spacing w:before="0"/>
              <w:rPr>
                <w:rFonts w:ascii="Noto Sans" w:hAnsi="Noto Sans" w:cs="Noto Sans"/>
                <w:sz w:val="16"/>
                <w:szCs w:val="16"/>
              </w:rPr>
            </w:pPr>
          </w:p>
        </w:tc>
      </w:tr>
    </w:tbl>
    <w:p w:rsidR="006614C4" w:rsidRDefault="006614C4" w:rsidP="00CD4882">
      <w:pPr>
        <w:spacing w:before="120" w:after="120" w:line="276" w:lineRule="auto"/>
        <w:rPr>
          <w:rFonts w:ascii="Noto Sans" w:hAnsi="Noto Sans" w:cs="Noto Sans"/>
          <w:sz w:val="20"/>
          <w:szCs w:val="22"/>
        </w:rPr>
      </w:pPr>
    </w:p>
    <w:p w:rsidR="000B03A8" w:rsidRDefault="000B03A8" w:rsidP="00CD4882">
      <w:pPr>
        <w:spacing w:before="120" w:after="120" w:line="276" w:lineRule="auto"/>
        <w:rPr>
          <w:rFonts w:ascii="Noto Sans" w:hAnsi="Noto Sans" w:cs="Noto Sans"/>
          <w:sz w:val="20"/>
          <w:szCs w:val="22"/>
        </w:rPr>
      </w:pPr>
    </w:p>
    <w:p w:rsidR="000B03A8" w:rsidRDefault="000B03A8" w:rsidP="00CD4882">
      <w:pPr>
        <w:spacing w:before="120" w:after="120" w:line="276" w:lineRule="auto"/>
        <w:rPr>
          <w:rFonts w:ascii="Noto Sans" w:hAnsi="Noto Sans" w:cs="Noto Sans"/>
          <w:sz w:val="20"/>
          <w:szCs w:val="22"/>
        </w:rPr>
      </w:pPr>
    </w:p>
    <w:p w:rsidR="000B03A8" w:rsidRDefault="000B03A8" w:rsidP="00CD4882">
      <w:pPr>
        <w:spacing w:before="120" w:after="120" w:line="276" w:lineRule="auto"/>
        <w:rPr>
          <w:rFonts w:ascii="Noto Sans" w:hAnsi="Noto Sans" w:cs="Noto Sans"/>
          <w:sz w:val="20"/>
          <w:szCs w:val="22"/>
        </w:rPr>
      </w:pPr>
    </w:p>
    <w:p w:rsidR="002324F1" w:rsidRDefault="002324F1" w:rsidP="00CD4882">
      <w:pPr>
        <w:spacing w:before="120" w:after="120" w:line="276" w:lineRule="auto"/>
        <w:rPr>
          <w:rFonts w:ascii="Noto Sans" w:hAnsi="Noto Sans" w:cs="Noto Sans"/>
          <w:b/>
          <w:sz w:val="20"/>
          <w:szCs w:val="22"/>
        </w:rPr>
      </w:pPr>
    </w:p>
    <w:p w:rsidR="002324F1" w:rsidRDefault="002324F1" w:rsidP="00CD4882">
      <w:pPr>
        <w:spacing w:before="120" w:after="120" w:line="276" w:lineRule="auto"/>
        <w:rPr>
          <w:rFonts w:ascii="Noto Sans" w:hAnsi="Noto Sans" w:cs="Noto Sans"/>
          <w:b/>
          <w:sz w:val="20"/>
          <w:szCs w:val="22"/>
        </w:rPr>
      </w:pPr>
    </w:p>
    <w:p w:rsidR="002324F1" w:rsidRDefault="002324F1" w:rsidP="00CD4882">
      <w:pPr>
        <w:spacing w:before="120" w:after="120" w:line="276" w:lineRule="auto"/>
        <w:rPr>
          <w:rFonts w:ascii="Noto Sans" w:hAnsi="Noto Sans" w:cs="Noto Sans"/>
          <w:b/>
          <w:sz w:val="20"/>
          <w:szCs w:val="22"/>
        </w:rPr>
      </w:pPr>
    </w:p>
    <w:p w:rsidR="002324F1" w:rsidRDefault="002324F1" w:rsidP="00CD4882">
      <w:pPr>
        <w:spacing w:before="120" w:after="120" w:line="276" w:lineRule="auto"/>
        <w:rPr>
          <w:rFonts w:ascii="Noto Sans" w:hAnsi="Noto Sans" w:cs="Noto Sans"/>
          <w:b/>
          <w:sz w:val="20"/>
          <w:szCs w:val="22"/>
        </w:rPr>
      </w:pPr>
    </w:p>
    <w:p w:rsidR="002324F1" w:rsidRDefault="002324F1" w:rsidP="00CD4882">
      <w:pPr>
        <w:spacing w:before="120" w:after="120" w:line="276" w:lineRule="auto"/>
        <w:rPr>
          <w:rFonts w:ascii="Noto Sans" w:hAnsi="Noto Sans" w:cs="Noto Sans"/>
          <w:b/>
          <w:sz w:val="20"/>
          <w:szCs w:val="22"/>
        </w:rPr>
      </w:pPr>
    </w:p>
    <w:p w:rsidR="002324F1" w:rsidRDefault="002324F1" w:rsidP="00CD4882">
      <w:pPr>
        <w:spacing w:before="120" w:after="120" w:line="276" w:lineRule="auto"/>
        <w:rPr>
          <w:rFonts w:ascii="Noto Sans" w:hAnsi="Noto Sans" w:cs="Noto Sans"/>
          <w:b/>
          <w:sz w:val="20"/>
          <w:szCs w:val="22"/>
        </w:rPr>
      </w:pPr>
    </w:p>
    <w:p w:rsidR="002324F1" w:rsidRDefault="002324F1" w:rsidP="00CD4882">
      <w:pPr>
        <w:spacing w:before="120" w:after="120" w:line="276" w:lineRule="auto"/>
        <w:rPr>
          <w:rFonts w:ascii="Noto Sans" w:hAnsi="Noto Sans" w:cs="Noto Sans"/>
          <w:b/>
          <w:sz w:val="20"/>
          <w:szCs w:val="22"/>
        </w:rPr>
      </w:pPr>
    </w:p>
    <w:p w:rsidR="002324F1" w:rsidRDefault="002324F1" w:rsidP="00CD4882">
      <w:pPr>
        <w:spacing w:before="120" w:after="120" w:line="276" w:lineRule="auto"/>
        <w:rPr>
          <w:rFonts w:ascii="Noto Sans" w:hAnsi="Noto Sans" w:cs="Noto Sans"/>
          <w:b/>
          <w:sz w:val="20"/>
          <w:szCs w:val="22"/>
        </w:rPr>
      </w:pPr>
    </w:p>
    <w:p w:rsidR="002324F1" w:rsidRDefault="002324F1" w:rsidP="00CD4882">
      <w:pPr>
        <w:spacing w:before="120" w:after="120" w:line="276" w:lineRule="auto"/>
        <w:rPr>
          <w:rFonts w:ascii="Noto Sans" w:hAnsi="Noto Sans" w:cs="Noto Sans"/>
          <w:b/>
          <w:sz w:val="20"/>
          <w:szCs w:val="22"/>
        </w:rPr>
      </w:pPr>
    </w:p>
    <w:p w:rsidR="002324F1" w:rsidRDefault="002324F1" w:rsidP="00CD4882">
      <w:pPr>
        <w:spacing w:before="120" w:after="120" w:line="276" w:lineRule="auto"/>
        <w:rPr>
          <w:rFonts w:ascii="Noto Sans" w:hAnsi="Noto Sans" w:cs="Noto Sans"/>
          <w:b/>
          <w:sz w:val="20"/>
          <w:szCs w:val="22"/>
        </w:rPr>
        <w:sectPr w:rsidR="002324F1" w:rsidSect="002324F1">
          <w:pgSz w:w="12240" w:h="15840"/>
          <w:pgMar w:top="2126" w:right="1701" w:bottom="1134" w:left="1701" w:header="709" w:footer="709" w:gutter="0"/>
          <w:cols w:space="708"/>
          <w:docGrid w:linePitch="360"/>
        </w:sectPr>
      </w:pPr>
    </w:p>
    <w:p w:rsidR="000B03A8" w:rsidRDefault="000B03A8" w:rsidP="008B20EC">
      <w:pPr>
        <w:spacing w:before="120" w:after="120" w:line="276" w:lineRule="auto"/>
        <w:rPr>
          <w:rFonts w:ascii="Noto Sans" w:hAnsi="Noto Sans" w:cs="Noto Sans"/>
          <w:b/>
          <w:sz w:val="20"/>
          <w:szCs w:val="22"/>
        </w:rPr>
      </w:pPr>
      <w:r w:rsidRPr="00C02CE4">
        <w:rPr>
          <w:rFonts w:ascii="Noto Sans" w:hAnsi="Noto Sans" w:cs="Noto Sans"/>
          <w:b/>
          <w:sz w:val="20"/>
          <w:szCs w:val="22"/>
        </w:rPr>
        <w:lastRenderedPageBreak/>
        <w:t>ANEXO 1. MATRIZ DE INDICADORES</w:t>
      </w:r>
    </w:p>
    <w:tbl>
      <w:tblPr>
        <w:tblStyle w:val="Tablaconcuadrcula"/>
        <w:tblW w:w="5000" w:type="pct"/>
        <w:tblLook w:val="04A0" w:firstRow="1" w:lastRow="0" w:firstColumn="1" w:lastColumn="0" w:noHBand="0" w:noVBand="1"/>
      </w:tblPr>
      <w:tblGrid>
        <w:gridCol w:w="1569"/>
        <w:gridCol w:w="1694"/>
        <w:gridCol w:w="1733"/>
        <w:gridCol w:w="1186"/>
        <w:gridCol w:w="1255"/>
        <w:gridCol w:w="1281"/>
        <w:gridCol w:w="1226"/>
        <w:gridCol w:w="1242"/>
        <w:gridCol w:w="1384"/>
      </w:tblGrid>
      <w:tr w:rsidR="008B20EC" w:rsidRPr="008B20EC" w:rsidTr="005E6276">
        <w:trPr>
          <w:trHeight w:val="204"/>
        </w:trPr>
        <w:tc>
          <w:tcPr>
            <w:tcW w:w="5000" w:type="pct"/>
            <w:gridSpan w:val="9"/>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Detalle de la Matriz</w:t>
            </w:r>
          </w:p>
        </w:tc>
      </w:tr>
      <w:tr w:rsidR="008B20EC" w:rsidRPr="008B20EC" w:rsidTr="005E6276">
        <w:trPr>
          <w:trHeight w:val="204"/>
        </w:trPr>
        <w:tc>
          <w:tcPr>
            <w:tcW w:w="1298" w:type="pct"/>
            <w:gridSpan w:val="2"/>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Ramo:</w:t>
            </w:r>
          </w:p>
        </w:tc>
        <w:tc>
          <w:tcPr>
            <w:tcW w:w="3702" w:type="pct"/>
            <w:gridSpan w:val="7"/>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12 - Salud</w:t>
            </w:r>
          </w:p>
        </w:tc>
      </w:tr>
      <w:tr w:rsidR="008B20EC" w:rsidRPr="008B20EC" w:rsidTr="005E6276">
        <w:trPr>
          <w:trHeight w:val="204"/>
        </w:trPr>
        <w:tc>
          <w:tcPr>
            <w:tcW w:w="1298" w:type="pct"/>
            <w:gridSpan w:val="2"/>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Unidad Responsable:</w:t>
            </w:r>
          </w:p>
        </w:tc>
        <w:tc>
          <w:tcPr>
            <w:tcW w:w="3702" w:type="pct"/>
            <w:gridSpan w:val="7"/>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160 - Comisión Coordinadora de Institutos Nacionales de Salud y Hospitales de Alta Especialidad</w:t>
            </w:r>
          </w:p>
        </w:tc>
      </w:tr>
      <w:tr w:rsidR="008B20EC" w:rsidRPr="008B20EC" w:rsidTr="005E6276">
        <w:trPr>
          <w:trHeight w:val="204"/>
        </w:trPr>
        <w:tc>
          <w:tcPr>
            <w:tcW w:w="1298" w:type="pct"/>
            <w:gridSpan w:val="2"/>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Clave y Modalidad del Pp:</w:t>
            </w:r>
          </w:p>
        </w:tc>
        <w:tc>
          <w:tcPr>
            <w:tcW w:w="3702" w:type="pct"/>
            <w:gridSpan w:val="7"/>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E - Prestación de Servicios Públicos</w:t>
            </w:r>
          </w:p>
        </w:tc>
      </w:tr>
      <w:tr w:rsidR="008B20EC" w:rsidRPr="008B20EC" w:rsidTr="005E6276">
        <w:trPr>
          <w:trHeight w:val="204"/>
        </w:trPr>
        <w:tc>
          <w:tcPr>
            <w:tcW w:w="1298" w:type="pct"/>
            <w:gridSpan w:val="2"/>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Denominación del Pp:</w:t>
            </w:r>
          </w:p>
        </w:tc>
        <w:tc>
          <w:tcPr>
            <w:tcW w:w="3702" w:type="pct"/>
            <w:gridSpan w:val="7"/>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E031-Servicios de atención a la salud</w:t>
            </w:r>
          </w:p>
        </w:tc>
      </w:tr>
      <w:tr w:rsidR="008B20EC" w:rsidRPr="008B20EC" w:rsidTr="005E6276">
        <w:trPr>
          <w:trHeight w:val="204"/>
        </w:trPr>
        <w:tc>
          <w:tcPr>
            <w:tcW w:w="5000" w:type="pct"/>
            <w:gridSpan w:val="9"/>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Clasificacion Funcional:</w:t>
            </w:r>
          </w:p>
        </w:tc>
      </w:tr>
      <w:tr w:rsidR="008B20EC" w:rsidRPr="008B20EC" w:rsidTr="005E6276">
        <w:trPr>
          <w:trHeight w:val="204"/>
        </w:trPr>
        <w:tc>
          <w:tcPr>
            <w:tcW w:w="1298" w:type="pct"/>
            <w:gridSpan w:val="2"/>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Finalidad:</w:t>
            </w:r>
          </w:p>
        </w:tc>
        <w:tc>
          <w:tcPr>
            <w:tcW w:w="3702" w:type="pct"/>
            <w:gridSpan w:val="7"/>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2. Desarrollo Social</w:t>
            </w:r>
          </w:p>
        </w:tc>
      </w:tr>
      <w:tr w:rsidR="008B20EC" w:rsidRPr="008B20EC" w:rsidTr="005E6276">
        <w:trPr>
          <w:trHeight w:val="204"/>
        </w:trPr>
        <w:tc>
          <w:tcPr>
            <w:tcW w:w="1298" w:type="pct"/>
            <w:gridSpan w:val="2"/>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Función:</w:t>
            </w:r>
          </w:p>
        </w:tc>
        <w:tc>
          <w:tcPr>
            <w:tcW w:w="3702" w:type="pct"/>
            <w:gridSpan w:val="7"/>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3. Salud</w:t>
            </w:r>
          </w:p>
        </w:tc>
      </w:tr>
      <w:tr w:rsidR="008B20EC" w:rsidRPr="008B20EC" w:rsidTr="005E6276">
        <w:trPr>
          <w:trHeight w:val="204"/>
        </w:trPr>
        <w:tc>
          <w:tcPr>
            <w:tcW w:w="1298" w:type="pct"/>
            <w:gridSpan w:val="2"/>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Subfunción:</w:t>
            </w:r>
          </w:p>
        </w:tc>
        <w:tc>
          <w:tcPr>
            <w:tcW w:w="3702" w:type="pct"/>
            <w:gridSpan w:val="7"/>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2. Prestación de servicios a la persona</w:t>
            </w:r>
          </w:p>
        </w:tc>
      </w:tr>
      <w:tr w:rsidR="008B20EC" w:rsidRPr="008B20EC" w:rsidTr="005E6276">
        <w:trPr>
          <w:trHeight w:val="360"/>
        </w:trPr>
        <w:tc>
          <w:tcPr>
            <w:tcW w:w="1298" w:type="pct"/>
            <w:gridSpan w:val="2"/>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Actividad Institucional:</w:t>
            </w:r>
          </w:p>
        </w:tc>
        <w:tc>
          <w:tcPr>
            <w:tcW w:w="3702" w:type="pct"/>
            <w:gridSpan w:val="7"/>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18- Prestación de Servicios del Sistema Nacional de Salud organizados e integrados</w:t>
            </w:r>
          </w:p>
        </w:tc>
      </w:tr>
      <w:tr w:rsidR="008B20EC" w:rsidRPr="008B20EC" w:rsidTr="005E6276">
        <w:trPr>
          <w:trHeight w:val="204"/>
        </w:trPr>
        <w:tc>
          <w:tcPr>
            <w:tcW w:w="5000" w:type="pct"/>
            <w:gridSpan w:val="9"/>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Fin</w:t>
            </w:r>
          </w:p>
        </w:tc>
      </w:tr>
      <w:tr w:rsidR="005E6276" w:rsidRPr="008B20EC" w:rsidTr="005E6276">
        <w:trPr>
          <w:trHeight w:val="204"/>
        </w:trPr>
        <w:tc>
          <w:tcPr>
            <w:tcW w:w="1987" w:type="pct"/>
            <w:gridSpan w:val="3"/>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Objetivo</w:t>
            </w:r>
          </w:p>
        </w:tc>
        <w:tc>
          <w:tcPr>
            <w:tcW w:w="1481" w:type="pct"/>
            <w:gridSpan w:val="3"/>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Orden</w:t>
            </w:r>
          </w:p>
        </w:tc>
        <w:tc>
          <w:tcPr>
            <w:tcW w:w="1532" w:type="pct"/>
            <w:gridSpan w:val="3"/>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Supuestos</w:t>
            </w:r>
          </w:p>
        </w:tc>
      </w:tr>
      <w:tr w:rsidR="005E6276" w:rsidRPr="008B20EC" w:rsidTr="005E6276">
        <w:trPr>
          <w:trHeight w:val="1260"/>
        </w:trPr>
        <w:tc>
          <w:tcPr>
            <w:tcW w:w="1987" w:type="pct"/>
            <w:gridSpan w:val="3"/>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lastRenderedPageBreak/>
              <w:t>Contribuir al bienestar social e igualdad mediante la atención a la demanda de servicios especializados que se presentan a los Institutos Nacionales de Salud y Hospitales de Alta Especialidad en coordinación con la red de servicios.</w:t>
            </w:r>
          </w:p>
        </w:tc>
        <w:tc>
          <w:tcPr>
            <w:tcW w:w="1481" w:type="pct"/>
            <w:gridSpan w:val="3"/>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 </w:t>
            </w:r>
          </w:p>
        </w:tc>
        <w:tc>
          <w:tcPr>
            <w:tcW w:w="1532" w:type="pct"/>
            <w:gridSpan w:val="3"/>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1.- Condiciones macroeconómicas estables. 2.- Se cuenta con planes emergenetes para atender desastres naturales y epidemias que pongan en peligro la vida de la población. 3.- El perfil epidemiológico y demográfico de la población se mantiene o presenta cambios graduales</w:t>
            </w:r>
          </w:p>
        </w:tc>
      </w:tr>
      <w:tr w:rsidR="005E6276" w:rsidRPr="008B20EC" w:rsidTr="005E6276">
        <w:trPr>
          <w:trHeight w:val="408"/>
        </w:trPr>
        <w:tc>
          <w:tcPr>
            <w:tcW w:w="62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Indicador</w:t>
            </w:r>
          </w:p>
        </w:tc>
        <w:tc>
          <w:tcPr>
            <w:tcW w:w="67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Definición</w:t>
            </w:r>
          </w:p>
        </w:tc>
        <w:tc>
          <w:tcPr>
            <w:tcW w:w="68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Método de Calculo</w:t>
            </w:r>
          </w:p>
        </w:tc>
        <w:tc>
          <w:tcPr>
            <w:tcW w:w="472"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Tipo de Valor de la Meta</w:t>
            </w:r>
          </w:p>
        </w:tc>
        <w:tc>
          <w:tcPr>
            <w:tcW w:w="49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Unidad de Medida</w:t>
            </w:r>
          </w:p>
        </w:tc>
        <w:tc>
          <w:tcPr>
            <w:tcW w:w="510"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Tipo de Indicador</w:t>
            </w:r>
          </w:p>
        </w:tc>
        <w:tc>
          <w:tcPr>
            <w:tcW w:w="488"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Dimensión del Indicador</w:t>
            </w:r>
          </w:p>
        </w:tc>
        <w:tc>
          <w:tcPr>
            <w:tcW w:w="49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Frecuencia de Medición</w:t>
            </w:r>
          </w:p>
        </w:tc>
        <w:tc>
          <w:tcPr>
            <w:tcW w:w="551"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Medios de Verificación</w:t>
            </w:r>
          </w:p>
        </w:tc>
      </w:tr>
      <w:tr w:rsidR="005E6276" w:rsidRPr="008B20EC" w:rsidTr="005E6276">
        <w:trPr>
          <w:trHeight w:val="2448"/>
        </w:trPr>
        <w:tc>
          <w:tcPr>
            <w:tcW w:w="624"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Porcentaje de pacientes referidos por instituciones públicas de salud a los que se les apertura expediente clínico institucional</w:t>
            </w:r>
          </w:p>
        </w:tc>
        <w:tc>
          <w:tcPr>
            <w:tcW w:w="674"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 xml:space="preserve">Pacientes que son referidos de instituciones d eprimer o segundo nivel de atención que tienen apertura de un expediente clínico en alguna de las </w:t>
            </w:r>
            <w:r w:rsidRPr="008B20EC">
              <w:rPr>
                <w:rFonts w:ascii="Noto Sans" w:hAnsi="Noto Sans" w:cs="Noto Sans"/>
                <w:sz w:val="20"/>
                <w:szCs w:val="22"/>
              </w:rPr>
              <w:lastRenderedPageBreak/>
              <w:t>instituciones coordinadas.</w:t>
            </w:r>
          </w:p>
        </w:tc>
        <w:tc>
          <w:tcPr>
            <w:tcW w:w="689"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lastRenderedPageBreak/>
              <w:t xml:space="preserve">(Número de pacientes que han sido referidos por instituciones públicas de salud a los cuales se les apertura expediente clínico institucional en el  periodo de </w:t>
            </w:r>
            <w:r w:rsidRPr="008B20EC">
              <w:rPr>
                <w:rFonts w:ascii="Noto Sans" w:hAnsi="Noto Sans" w:cs="Noto Sans"/>
                <w:sz w:val="20"/>
                <w:szCs w:val="22"/>
              </w:rPr>
              <w:lastRenderedPageBreak/>
              <w:t xml:space="preserve">evaluación / Total de pacientes a los cuales se les apertura expediente clínico en el periodo de evaluación) x 100 </w:t>
            </w:r>
          </w:p>
        </w:tc>
        <w:tc>
          <w:tcPr>
            <w:tcW w:w="472"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lastRenderedPageBreak/>
              <w:t>Relativo</w:t>
            </w:r>
          </w:p>
        </w:tc>
        <w:tc>
          <w:tcPr>
            <w:tcW w:w="499"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porcentaje</w:t>
            </w:r>
          </w:p>
        </w:tc>
        <w:tc>
          <w:tcPr>
            <w:tcW w:w="510"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Estratégico</w:t>
            </w:r>
          </w:p>
        </w:tc>
        <w:tc>
          <w:tcPr>
            <w:tcW w:w="488"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Eficacia</w:t>
            </w:r>
          </w:p>
        </w:tc>
        <w:tc>
          <w:tcPr>
            <w:tcW w:w="494"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Trimestral</w:t>
            </w:r>
          </w:p>
        </w:tc>
        <w:tc>
          <w:tcPr>
            <w:tcW w:w="551"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 xml:space="preserve">CCINSHAE. Informe de desempeño MIR E023 2020. Porcentaje de pacientes referidos por instituciones públicas de salud a </w:t>
            </w:r>
            <w:r w:rsidRPr="008B20EC">
              <w:rPr>
                <w:rFonts w:ascii="Noto Sans" w:hAnsi="Noto Sans" w:cs="Noto Sans"/>
                <w:sz w:val="20"/>
                <w:szCs w:val="22"/>
              </w:rPr>
              <w:lastRenderedPageBreak/>
              <w:t xml:space="preserve">los que se les apertura expediente clínico institucional </w:t>
            </w:r>
          </w:p>
        </w:tc>
      </w:tr>
      <w:tr w:rsidR="008B20EC" w:rsidRPr="008B20EC" w:rsidTr="005E6276">
        <w:trPr>
          <w:trHeight w:val="204"/>
        </w:trPr>
        <w:tc>
          <w:tcPr>
            <w:tcW w:w="5000" w:type="pct"/>
            <w:gridSpan w:val="9"/>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lastRenderedPageBreak/>
              <w:t>Propósito</w:t>
            </w:r>
          </w:p>
        </w:tc>
      </w:tr>
      <w:tr w:rsidR="005E6276" w:rsidRPr="008B20EC" w:rsidTr="005E6276">
        <w:trPr>
          <w:trHeight w:val="204"/>
        </w:trPr>
        <w:tc>
          <w:tcPr>
            <w:tcW w:w="1987" w:type="pct"/>
            <w:gridSpan w:val="3"/>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Objetivo</w:t>
            </w:r>
          </w:p>
        </w:tc>
        <w:tc>
          <w:tcPr>
            <w:tcW w:w="1481" w:type="pct"/>
            <w:gridSpan w:val="3"/>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Orden</w:t>
            </w:r>
          </w:p>
        </w:tc>
        <w:tc>
          <w:tcPr>
            <w:tcW w:w="1532" w:type="pct"/>
            <w:gridSpan w:val="3"/>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Supuestos</w:t>
            </w:r>
          </w:p>
        </w:tc>
      </w:tr>
      <w:tr w:rsidR="005E6276" w:rsidRPr="008B20EC" w:rsidTr="005E6276">
        <w:trPr>
          <w:trHeight w:val="1170"/>
        </w:trPr>
        <w:tc>
          <w:tcPr>
            <w:tcW w:w="1987" w:type="pct"/>
            <w:gridSpan w:val="3"/>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La población con padecimientos de alta complejidad que recibe atención médica especializada con calidad en los Institutos Nacionales de Salud y Hospitales de Alta Especialidad mejora sus condiciones de salud</w:t>
            </w:r>
          </w:p>
        </w:tc>
        <w:tc>
          <w:tcPr>
            <w:tcW w:w="1481" w:type="pct"/>
            <w:gridSpan w:val="3"/>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 </w:t>
            </w:r>
          </w:p>
        </w:tc>
        <w:tc>
          <w:tcPr>
            <w:tcW w:w="1532" w:type="pct"/>
            <w:gridSpan w:val="3"/>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 xml:space="preserve">1.- Se mejora la cobertura de atención médica del primero y segundo nivel de atención a la población no derechohabiente de la seguridad social. 2.- Las políticas públicas de salud tienen una mayor cobertura de padecimientos que requieren atención médica especializada y de la población que es atendida por las instituciones de salud para población no derechohabiente. 3.- Se mantienen condiciones macroeconómicas </w:t>
            </w:r>
            <w:r w:rsidRPr="008B20EC">
              <w:rPr>
                <w:rFonts w:ascii="Noto Sans" w:hAnsi="Noto Sans" w:cs="Noto Sans"/>
                <w:sz w:val="20"/>
                <w:szCs w:val="22"/>
              </w:rPr>
              <w:lastRenderedPageBreak/>
              <w:t>estables que permitan la adquisición y mantenimiento de equipo e insumos especializados para la salud. 4.- Las redes de servicios operan adecuadamente el sistema de referencia y contrarreferencia.</w:t>
            </w:r>
          </w:p>
        </w:tc>
      </w:tr>
      <w:tr w:rsidR="005E6276" w:rsidRPr="008B20EC" w:rsidTr="005E6276">
        <w:trPr>
          <w:trHeight w:val="420"/>
        </w:trPr>
        <w:tc>
          <w:tcPr>
            <w:tcW w:w="62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lastRenderedPageBreak/>
              <w:t>Indicador</w:t>
            </w:r>
          </w:p>
        </w:tc>
        <w:tc>
          <w:tcPr>
            <w:tcW w:w="67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Definición</w:t>
            </w:r>
          </w:p>
        </w:tc>
        <w:tc>
          <w:tcPr>
            <w:tcW w:w="68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Método de Calculo</w:t>
            </w:r>
          </w:p>
        </w:tc>
        <w:tc>
          <w:tcPr>
            <w:tcW w:w="472"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Tipo de Valor de la Meta</w:t>
            </w:r>
          </w:p>
        </w:tc>
        <w:tc>
          <w:tcPr>
            <w:tcW w:w="49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Unidad de Medida</w:t>
            </w:r>
          </w:p>
        </w:tc>
        <w:tc>
          <w:tcPr>
            <w:tcW w:w="510"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Tipo de Indicador</w:t>
            </w:r>
          </w:p>
        </w:tc>
        <w:tc>
          <w:tcPr>
            <w:tcW w:w="488"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Dimensión del Indicador</w:t>
            </w:r>
          </w:p>
        </w:tc>
        <w:tc>
          <w:tcPr>
            <w:tcW w:w="49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Frecuencia de Medición</w:t>
            </w:r>
          </w:p>
        </w:tc>
        <w:tc>
          <w:tcPr>
            <w:tcW w:w="551"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Medios de Verificación</w:t>
            </w:r>
          </w:p>
        </w:tc>
      </w:tr>
      <w:tr w:rsidR="005E6276" w:rsidRPr="008B20EC" w:rsidTr="005E6276">
        <w:trPr>
          <w:trHeight w:val="4860"/>
        </w:trPr>
        <w:tc>
          <w:tcPr>
            <w:tcW w:w="624"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 xml:space="preserve"> Porcentaje de pacientes sin seguridad social valorados en la consulta externa que presentan padecimientos que requiere atención de especialidad o alta especialidad</w:t>
            </w:r>
          </w:p>
        </w:tc>
        <w:tc>
          <w:tcPr>
            <w:tcW w:w="674"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Pacientes que son valorados por padecimientos de especialidad o alta especialidad entre el total de pacienets valorados</w:t>
            </w:r>
          </w:p>
        </w:tc>
        <w:tc>
          <w:tcPr>
            <w:tcW w:w="689"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(Pacientes sin seguridad social valorados en la consulta externa que presentan padecimientos que requiere atención de alta especialidad /total de personas valoradas en la consulta externa)*100</w:t>
            </w:r>
          </w:p>
        </w:tc>
        <w:tc>
          <w:tcPr>
            <w:tcW w:w="472"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Relativo</w:t>
            </w:r>
          </w:p>
        </w:tc>
        <w:tc>
          <w:tcPr>
            <w:tcW w:w="499"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Porcentaje</w:t>
            </w:r>
          </w:p>
        </w:tc>
        <w:tc>
          <w:tcPr>
            <w:tcW w:w="510"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Estratégico</w:t>
            </w:r>
          </w:p>
        </w:tc>
        <w:tc>
          <w:tcPr>
            <w:tcW w:w="488"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Eficacia</w:t>
            </w:r>
          </w:p>
        </w:tc>
        <w:tc>
          <w:tcPr>
            <w:tcW w:w="494"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Trimestral</w:t>
            </w:r>
          </w:p>
        </w:tc>
        <w:tc>
          <w:tcPr>
            <w:tcW w:w="551"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CCINSHAE.  Información recibida de las unidades coordinadas</w:t>
            </w:r>
          </w:p>
        </w:tc>
      </w:tr>
      <w:tr w:rsidR="008B20EC" w:rsidRPr="008B20EC" w:rsidTr="005E6276">
        <w:trPr>
          <w:trHeight w:val="210"/>
        </w:trPr>
        <w:tc>
          <w:tcPr>
            <w:tcW w:w="5000" w:type="pct"/>
            <w:gridSpan w:val="9"/>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lastRenderedPageBreak/>
              <w:t>Componente</w:t>
            </w:r>
          </w:p>
        </w:tc>
      </w:tr>
      <w:tr w:rsidR="005E6276" w:rsidRPr="008B20EC" w:rsidTr="005E6276">
        <w:trPr>
          <w:trHeight w:val="204"/>
        </w:trPr>
        <w:tc>
          <w:tcPr>
            <w:tcW w:w="1987" w:type="pct"/>
            <w:gridSpan w:val="3"/>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Objetivo</w:t>
            </w:r>
          </w:p>
        </w:tc>
        <w:tc>
          <w:tcPr>
            <w:tcW w:w="1481" w:type="pct"/>
            <w:gridSpan w:val="3"/>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Orden</w:t>
            </w:r>
          </w:p>
        </w:tc>
        <w:tc>
          <w:tcPr>
            <w:tcW w:w="1532" w:type="pct"/>
            <w:gridSpan w:val="3"/>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Supuestos</w:t>
            </w:r>
          </w:p>
        </w:tc>
      </w:tr>
      <w:tr w:rsidR="005E6276" w:rsidRPr="008B20EC" w:rsidTr="005E6276">
        <w:trPr>
          <w:trHeight w:val="960"/>
        </w:trPr>
        <w:tc>
          <w:tcPr>
            <w:tcW w:w="1987" w:type="pct"/>
            <w:gridSpan w:val="3"/>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Atención hospitalaria especializada y ambulatoria otorgada</w:t>
            </w:r>
          </w:p>
        </w:tc>
        <w:tc>
          <w:tcPr>
            <w:tcW w:w="1481" w:type="pct"/>
            <w:gridSpan w:val="3"/>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 </w:t>
            </w:r>
          </w:p>
        </w:tc>
        <w:tc>
          <w:tcPr>
            <w:tcW w:w="1532" w:type="pct"/>
            <w:gridSpan w:val="3"/>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 xml:space="preserve">1.- La demanda se mantiene de acuerdo a lo proyectado. </w:t>
            </w:r>
            <w:r w:rsidRPr="008B20EC">
              <w:rPr>
                <w:rFonts w:ascii="Noto Sans" w:hAnsi="Noto Sans" w:cs="Noto Sans"/>
                <w:sz w:val="20"/>
                <w:szCs w:val="22"/>
              </w:rPr>
              <w:br/>
              <w:t xml:space="preserve">2.- La población cumple con las medidas de prevención primaria y secundaria para la preservación de la salud. </w:t>
            </w:r>
            <w:r w:rsidRPr="008B20EC">
              <w:rPr>
                <w:rFonts w:ascii="Noto Sans" w:hAnsi="Noto Sans" w:cs="Noto Sans"/>
                <w:sz w:val="20"/>
                <w:szCs w:val="22"/>
              </w:rPr>
              <w:br/>
              <w:t>3.- La población acepta la contrarreferencia a sus unidades médicas de adscripción. 4.-Las Entidades Federativas realizan la solicitud de insumos para la detección temprana de enfermedades prevenibles y su tratamiento, con base en sus necesidades reales.</w:t>
            </w:r>
            <w:r w:rsidRPr="008B20EC">
              <w:rPr>
                <w:rFonts w:ascii="Noto Sans" w:hAnsi="Noto Sans" w:cs="Noto Sans"/>
                <w:sz w:val="20"/>
                <w:szCs w:val="22"/>
              </w:rPr>
              <w:br/>
              <w:t>5.- Existe una buena utilización de los recursos solicitados por parte de las Entidades Federativas para brindar la atención requerida por la población en las unidades de atención médica.</w:t>
            </w:r>
          </w:p>
        </w:tc>
      </w:tr>
      <w:tr w:rsidR="005E6276" w:rsidRPr="008B20EC" w:rsidTr="005E6276">
        <w:trPr>
          <w:trHeight w:val="420"/>
        </w:trPr>
        <w:tc>
          <w:tcPr>
            <w:tcW w:w="62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lastRenderedPageBreak/>
              <w:t>Indicador</w:t>
            </w:r>
          </w:p>
        </w:tc>
        <w:tc>
          <w:tcPr>
            <w:tcW w:w="67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Definición</w:t>
            </w:r>
          </w:p>
        </w:tc>
        <w:tc>
          <w:tcPr>
            <w:tcW w:w="68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Método de Calculo</w:t>
            </w:r>
          </w:p>
        </w:tc>
        <w:tc>
          <w:tcPr>
            <w:tcW w:w="472"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Tipo de Valor de la Meta</w:t>
            </w:r>
          </w:p>
        </w:tc>
        <w:tc>
          <w:tcPr>
            <w:tcW w:w="49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Unidad de Medida</w:t>
            </w:r>
          </w:p>
        </w:tc>
        <w:tc>
          <w:tcPr>
            <w:tcW w:w="510"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Tipo de Indicador</w:t>
            </w:r>
          </w:p>
        </w:tc>
        <w:tc>
          <w:tcPr>
            <w:tcW w:w="488"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Dimensión del Indicador</w:t>
            </w:r>
          </w:p>
        </w:tc>
        <w:tc>
          <w:tcPr>
            <w:tcW w:w="49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Frecuencia de Medición</w:t>
            </w:r>
          </w:p>
        </w:tc>
        <w:tc>
          <w:tcPr>
            <w:tcW w:w="551"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Medios de Verificación</w:t>
            </w:r>
          </w:p>
        </w:tc>
      </w:tr>
      <w:tr w:rsidR="005E6276" w:rsidRPr="008B20EC" w:rsidTr="005E6276">
        <w:trPr>
          <w:trHeight w:val="2088"/>
        </w:trPr>
        <w:tc>
          <w:tcPr>
            <w:tcW w:w="62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Índice de utilización de consultorio</w:t>
            </w:r>
          </w:p>
        </w:tc>
        <w:tc>
          <w:tcPr>
            <w:tcW w:w="67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Es la relación entre el tiempo que se usa un consultorio y el que se podría usar</w:t>
            </w:r>
          </w:p>
        </w:tc>
        <w:tc>
          <w:tcPr>
            <w:tcW w:w="68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Sumatoria de tiempos de cada consulta (horas) /Número de consultorios x Horas hábiles del periodo (días hábiles x horas hábiles de la jornada)</w:t>
            </w:r>
          </w:p>
        </w:tc>
        <w:tc>
          <w:tcPr>
            <w:tcW w:w="472"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Relación</w:t>
            </w:r>
          </w:p>
        </w:tc>
        <w:tc>
          <w:tcPr>
            <w:tcW w:w="49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Indíce</w:t>
            </w:r>
          </w:p>
        </w:tc>
        <w:tc>
          <w:tcPr>
            <w:tcW w:w="510"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Gestión</w:t>
            </w:r>
          </w:p>
        </w:tc>
        <w:tc>
          <w:tcPr>
            <w:tcW w:w="488"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Eficiencia</w:t>
            </w:r>
          </w:p>
        </w:tc>
        <w:tc>
          <w:tcPr>
            <w:tcW w:w="49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Trimestral</w:t>
            </w:r>
          </w:p>
        </w:tc>
        <w:tc>
          <w:tcPr>
            <w:tcW w:w="551"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CCINSHAE.  Información recibida de las unidades coordinadas</w:t>
            </w:r>
          </w:p>
        </w:tc>
      </w:tr>
      <w:tr w:rsidR="005E6276" w:rsidRPr="008B20EC" w:rsidTr="005E6276">
        <w:trPr>
          <w:trHeight w:val="1368"/>
        </w:trPr>
        <w:tc>
          <w:tcPr>
            <w:tcW w:w="62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Índice de utilización de salas de cirugía</w:t>
            </w:r>
          </w:p>
        </w:tc>
        <w:tc>
          <w:tcPr>
            <w:tcW w:w="67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 xml:space="preserve">Es la relación entre  el tiempo que se utiliza un quirofano y el numero de salas donde se podrían realizar </w:t>
            </w:r>
            <w:r w:rsidRPr="008B20EC">
              <w:rPr>
                <w:rFonts w:ascii="Noto Sans" w:hAnsi="Noto Sans" w:cs="Noto Sans"/>
                <w:b/>
                <w:bCs/>
                <w:sz w:val="20"/>
                <w:szCs w:val="22"/>
              </w:rPr>
              <w:lastRenderedPageBreak/>
              <w:t>procedimientos</w:t>
            </w:r>
          </w:p>
        </w:tc>
        <w:tc>
          <w:tcPr>
            <w:tcW w:w="68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lastRenderedPageBreak/>
              <w:t>2. Sumatoria de tiempos quirúrgico de cada cirugía (horas)/Número de salas quirúrgicas</w:t>
            </w:r>
          </w:p>
        </w:tc>
        <w:tc>
          <w:tcPr>
            <w:tcW w:w="472"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Relación</w:t>
            </w:r>
          </w:p>
        </w:tc>
        <w:tc>
          <w:tcPr>
            <w:tcW w:w="49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Indíce</w:t>
            </w:r>
          </w:p>
        </w:tc>
        <w:tc>
          <w:tcPr>
            <w:tcW w:w="510"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Gestión</w:t>
            </w:r>
          </w:p>
        </w:tc>
        <w:tc>
          <w:tcPr>
            <w:tcW w:w="488"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Eficiencia</w:t>
            </w:r>
          </w:p>
        </w:tc>
        <w:tc>
          <w:tcPr>
            <w:tcW w:w="49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Trimestral</w:t>
            </w:r>
          </w:p>
        </w:tc>
        <w:tc>
          <w:tcPr>
            <w:tcW w:w="551"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CCINSHAE.  Información recibida de las unidades coordinadas</w:t>
            </w:r>
          </w:p>
        </w:tc>
      </w:tr>
      <w:tr w:rsidR="005E6276" w:rsidRPr="008B20EC" w:rsidTr="005E6276">
        <w:trPr>
          <w:trHeight w:val="3120"/>
        </w:trPr>
        <w:tc>
          <w:tcPr>
            <w:tcW w:w="62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Eficacia en el otorgamiento de consulta programada (preconsulta, primera vez, subsecuentes, urgencias o admisión continua)</w:t>
            </w:r>
          </w:p>
        </w:tc>
        <w:tc>
          <w:tcPr>
            <w:tcW w:w="67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Es la relación obtenida entre las consultas programas y el numero de consultas realizadas</w:t>
            </w:r>
          </w:p>
        </w:tc>
        <w:tc>
          <w:tcPr>
            <w:tcW w:w="68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Número de consultas realizadas (preconsulta, primera vez, subsecuentes, urgencias o admisión continua) / Número de consultas programadas (preconsulta, primera vez, subsecuentes, urgencias o admisión continua) x 100</w:t>
            </w:r>
          </w:p>
        </w:tc>
        <w:tc>
          <w:tcPr>
            <w:tcW w:w="472"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Relativo</w:t>
            </w:r>
          </w:p>
        </w:tc>
        <w:tc>
          <w:tcPr>
            <w:tcW w:w="49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Porcentaje</w:t>
            </w:r>
          </w:p>
        </w:tc>
        <w:tc>
          <w:tcPr>
            <w:tcW w:w="510"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Estratégico</w:t>
            </w:r>
          </w:p>
        </w:tc>
        <w:tc>
          <w:tcPr>
            <w:tcW w:w="488"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Eficiencia</w:t>
            </w:r>
          </w:p>
        </w:tc>
        <w:tc>
          <w:tcPr>
            <w:tcW w:w="49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Trimestral</w:t>
            </w:r>
          </w:p>
        </w:tc>
        <w:tc>
          <w:tcPr>
            <w:tcW w:w="551"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CCINSHAE.  Información recibida de las unidades coordinadas</w:t>
            </w:r>
          </w:p>
        </w:tc>
      </w:tr>
      <w:tr w:rsidR="005E6276" w:rsidRPr="008B20EC" w:rsidTr="005E6276">
        <w:trPr>
          <w:trHeight w:val="1248"/>
        </w:trPr>
        <w:tc>
          <w:tcPr>
            <w:tcW w:w="62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lastRenderedPageBreak/>
              <w:t>Porcentaje de diferimiento quirúrgico por cirugía programadas</w:t>
            </w:r>
          </w:p>
        </w:tc>
        <w:tc>
          <w:tcPr>
            <w:tcW w:w="67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Es la relación entre cirugías diferidas y el total de cirugías realizadas</w:t>
            </w:r>
          </w:p>
        </w:tc>
        <w:tc>
          <w:tcPr>
            <w:tcW w:w="68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Número de cirugías diferidas  de acuerdo a la programación/ Total de cirugías realizadas x 100</w:t>
            </w:r>
          </w:p>
        </w:tc>
        <w:tc>
          <w:tcPr>
            <w:tcW w:w="472"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Relativo</w:t>
            </w:r>
          </w:p>
        </w:tc>
        <w:tc>
          <w:tcPr>
            <w:tcW w:w="49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Porcentaje</w:t>
            </w:r>
          </w:p>
        </w:tc>
        <w:tc>
          <w:tcPr>
            <w:tcW w:w="510"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Gestión</w:t>
            </w:r>
          </w:p>
        </w:tc>
        <w:tc>
          <w:tcPr>
            <w:tcW w:w="488"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Eficiencia</w:t>
            </w:r>
          </w:p>
        </w:tc>
        <w:tc>
          <w:tcPr>
            <w:tcW w:w="49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Trimestral</w:t>
            </w:r>
          </w:p>
        </w:tc>
        <w:tc>
          <w:tcPr>
            <w:tcW w:w="551"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CCINSHAE.  Información recibida de las unidades coordinadas</w:t>
            </w:r>
          </w:p>
        </w:tc>
      </w:tr>
      <w:tr w:rsidR="005E6276" w:rsidRPr="008B20EC" w:rsidTr="005E6276">
        <w:trPr>
          <w:trHeight w:val="1428"/>
        </w:trPr>
        <w:tc>
          <w:tcPr>
            <w:tcW w:w="62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 xml:space="preserve">Porcentaje de sesiones de rehabilitación especializadas realizadas respecto al total realizado  </w:t>
            </w:r>
          </w:p>
        </w:tc>
        <w:tc>
          <w:tcPr>
            <w:tcW w:w="67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Es la relación entre las sesiones de rehabilitación con alguna especialización y el numero de sesiones de rehabilitación totales</w:t>
            </w:r>
          </w:p>
        </w:tc>
        <w:tc>
          <w:tcPr>
            <w:tcW w:w="68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 xml:space="preserve">(Número de sesiones de rehabilitación especializadas realizadas / Total de sesiones de rehabilitación realizadas) x 100  </w:t>
            </w:r>
          </w:p>
        </w:tc>
        <w:tc>
          <w:tcPr>
            <w:tcW w:w="472"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Relativo</w:t>
            </w:r>
          </w:p>
        </w:tc>
        <w:tc>
          <w:tcPr>
            <w:tcW w:w="49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Porcentaje</w:t>
            </w:r>
          </w:p>
        </w:tc>
        <w:tc>
          <w:tcPr>
            <w:tcW w:w="510"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Gestión</w:t>
            </w:r>
          </w:p>
        </w:tc>
        <w:tc>
          <w:tcPr>
            <w:tcW w:w="488"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Eficiencia</w:t>
            </w:r>
          </w:p>
        </w:tc>
        <w:tc>
          <w:tcPr>
            <w:tcW w:w="49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Trimestral</w:t>
            </w:r>
          </w:p>
        </w:tc>
        <w:tc>
          <w:tcPr>
            <w:tcW w:w="551"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CCINSHAE.  Información recibida de las unidades coordinadas</w:t>
            </w:r>
          </w:p>
        </w:tc>
      </w:tr>
      <w:tr w:rsidR="005E6276" w:rsidRPr="008B20EC" w:rsidTr="005E6276">
        <w:trPr>
          <w:trHeight w:val="3048"/>
        </w:trPr>
        <w:tc>
          <w:tcPr>
            <w:tcW w:w="62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lastRenderedPageBreak/>
              <w:t>Porcentaje de usuarios con percepción de satisfacción de la calidad de la atención médica hospitalaria recibida superior a 80 puntos porcentuales </w:t>
            </w:r>
          </w:p>
        </w:tc>
        <w:tc>
          <w:tcPr>
            <w:tcW w:w="67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Es la relación entre el número de usuarios satisfechos en su atención médica y el número total de usuarios.</w:t>
            </w:r>
          </w:p>
        </w:tc>
        <w:tc>
          <w:tcPr>
            <w:tcW w:w="68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 xml:space="preserve">(Número de usuarios en atención hospitalaria que manifestaron una calificación de percepción de satisfacción de la calidad de la atención recibida superior a 80 puntos porcentuales / Total de usuarios en atención hospitalaria encuestados) x 100  </w:t>
            </w:r>
          </w:p>
        </w:tc>
        <w:tc>
          <w:tcPr>
            <w:tcW w:w="472"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Relativo</w:t>
            </w:r>
          </w:p>
        </w:tc>
        <w:tc>
          <w:tcPr>
            <w:tcW w:w="49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Porcentaje</w:t>
            </w:r>
          </w:p>
        </w:tc>
        <w:tc>
          <w:tcPr>
            <w:tcW w:w="510"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Gestión</w:t>
            </w:r>
          </w:p>
        </w:tc>
        <w:tc>
          <w:tcPr>
            <w:tcW w:w="488"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Calidad</w:t>
            </w:r>
          </w:p>
        </w:tc>
        <w:tc>
          <w:tcPr>
            <w:tcW w:w="49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Trimestral</w:t>
            </w:r>
          </w:p>
        </w:tc>
        <w:tc>
          <w:tcPr>
            <w:tcW w:w="551"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CCINSHAE.  Información recibida de las unidades coordinadas</w:t>
            </w:r>
          </w:p>
        </w:tc>
      </w:tr>
      <w:tr w:rsidR="005E6276" w:rsidRPr="008B20EC" w:rsidTr="005E6276">
        <w:trPr>
          <w:trHeight w:val="3504"/>
        </w:trPr>
        <w:tc>
          <w:tcPr>
            <w:tcW w:w="62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lastRenderedPageBreak/>
              <w:t xml:space="preserve">Porcentaje de usuarios con percepción de satisfacción de la calidad de la atención médica ambulatoria recibida superior a 80 puntos porcentuales  </w:t>
            </w:r>
          </w:p>
        </w:tc>
        <w:tc>
          <w:tcPr>
            <w:tcW w:w="67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Es la relación entre el número de usuarios satisfechos en atención ambulatoria y el total de usuarios</w:t>
            </w:r>
          </w:p>
        </w:tc>
        <w:tc>
          <w:tcPr>
            <w:tcW w:w="68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 xml:space="preserve">(Número de usuarios en atención ambulatoria que manifestaron una calificación de percepción de satisfacción de la calidad de la atención recibida superior a 80 puntos porcentuales / Total de usuarios en atención ambulatoria encuestados) x 100  </w:t>
            </w:r>
          </w:p>
        </w:tc>
        <w:tc>
          <w:tcPr>
            <w:tcW w:w="472"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Relativo</w:t>
            </w:r>
          </w:p>
        </w:tc>
        <w:tc>
          <w:tcPr>
            <w:tcW w:w="49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Porcentaje</w:t>
            </w:r>
          </w:p>
        </w:tc>
        <w:tc>
          <w:tcPr>
            <w:tcW w:w="510"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Gestión</w:t>
            </w:r>
          </w:p>
        </w:tc>
        <w:tc>
          <w:tcPr>
            <w:tcW w:w="488"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Calidad</w:t>
            </w:r>
          </w:p>
        </w:tc>
        <w:tc>
          <w:tcPr>
            <w:tcW w:w="49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Trimestral</w:t>
            </w:r>
          </w:p>
        </w:tc>
        <w:tc>
          <w:tcPr>
            <w:tcW w:w="551"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CCINSHAE.  Información recibida de las unidades coordinadas</w:t>
            </w:r>
          </w:p>
        </w:tc>
      </w:tr>
      <w:tr w:rsidR="005E6276" w:rsidRPr="008B20EC" w:rsidTr="005E6276">
        <w:trPr>
          <w:trHeight w:val="3504"/>
        </w:trPr>
        <w:tc>
          <w:tcPr>
            <w:tcW w:w="62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lastRenderedPageBreak/>
              <w:t xml:space="preserve">Promedio de días estancia </w:t>
            </w:r>
          </w:p>
        </w:tc>
        <w:tc>
          <w:tcPr>
            <w:tcW w:w="67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Estancia en promedio de los pacientes</w:t>
            </w:r>
          </w:p>
        </w:tc>
        <w:tc>
          <w:tcPr>
            <w:tcW w:w="68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 xml:space="preserve">(Número de días estancia / Total de egresos hospitalarios)  </w:t>
            </w:r>
          </w:p>
        </w:tc>
        <w:tc>
          <w:tcPr>
            <w:tcW w:w="472"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Priomedio</w:t>
            </w:r>
          </w:p>
        </w:tc>
        <w:tc>
          <w:tcPr>
            <w:tcW w:w="49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Número</w:t>
            </w:r>
          </w:p>
        </w:tc>
        <w:tc>
          <w:tcPr>
            <w:tcW w:w="510"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Gestión</w:t>
            </w:r>
          </w:p>
        </w:tc>
        <w:tc>
          <w:tcPr>
            <w:tcW w:w="488"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Eficiencia</w:t>
            </w:r>
          </w:p>
        </w:tc>
        <w:tc>
          <w:tcPr>
            <w:tcW w:w="49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Trimestral</w:t>
            </w:r>
          </w:p>
        </w:tc>
        <w:tc>
          <w:tcPr>
            <w:tcW w:w="551"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CCINSHAE.  Información recibida de las unidades coordinadas</w:t>
            </w:r>
          </w:p>
        </w:tc>
      </w:tr>
      <w:tr w:rsidR="005E6276" w:rsidRPr="008B20EC" w:rsidTr="005E6276">
        <w:trPr>
          <w:trHeight w:val="3300"/>
        </w:trPr>
        <w:tc>
          <w:tcPr>
            <w:tcW w:w="624"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Tasa de reingresos hospitalarios por patologías no resueltas</w:t>
            </w:r>
          </w:p>
        </w:tc>
        <w:tc>
          <w:tcPr>
            <w:tcW w:w="674"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Es la relación entre pacientes que reingresan por alguna patología que no se resolvio y el total de pacientes egresados</w:t>
            </w:r>
          </w:p>
        </w:tc>
        <w:tc>
          <w:tcPr>
            <w:tcW w:w="689"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Número de pacientes reingresados por patología no resuelta en los 30 días posteriores al alta/Total de egresos x 1000</w:t>
            </w:r>
          </w:p>
        </w:tc>
        <w:tc>
          <w:tcPr>
            <w:tcW w:w="472"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Relativo</w:t>
            </w:r>
          </w:p>
        </w:tc>
        <w:tc>
          <w:tcPr>
            <w:tcW w:w="499"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Tasa</w:t>
            </w:r>
          </w:p>
        </w:tc>
        <w:tc>
          <w:tcPr>
            <w:tcW w:w="510"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Gestión</w:t>
            </w:r>
          </w:p>
        </w:tc>
        <w:tc>
          <w:tcPr>
            <w:tcW w:w="488"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Calidad</w:t>
            </w:r>
          </w:p>
        </w:tc>
        <w:tc>
          <w:tcPr>
            <w:tcW w:w="494"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Trimestral</w:t>
            </w:r>
          </w:p>
        </w:tc>
        <w:tc>
          <w:tcPr>
            <w:tcW w:w="551" w:type="pct"/>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CCINSHAE.  Información recibida de las unidades coordinadas</w:t>
            </w:r>
          </w:p>
        </w:tc>
      </w:tr>
      <w:tr w:rsidR="008B20EC" w:rsidRPr="008B20EC" w:rsidTr="005E6276">
        <w:trPr>
          <w:trHeight w:val="210"/>
        </w:trPr>
        <w:tc>
          <w:tcPr>
            <w:tcW w:w="5000" w:type="pct"/>
            <w:gridSpan w:val="9"/>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Actividad</w:t>
            </w:r>
          </w:p>
        </w:tc>
      </w:tr>
      <w:tr w:rsidR="005E6276" w:rsidRPr="008B20EC" w:rsidTr="005E6276">
        <w:trPr>
          <w:trHeight w:val="210"/>
        </w:trPr>
        <w:tc>
          <w:tcPr>
            <w:tcW w:w="1987" w:type="pct"/>
            <w:gridSpan w:val="3"/>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Objetivo</w:t>
            </w:r>
          </w:p>
        </w:tc>
        <w:tc>
          <w:tcPr>
            <w:tcW w:w="1481" w:type="pct"/>
            <w:gridSpan w:val="3"/>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Orden</w:t>
            </w:r>
          </w:p>
        </w:tc>
        <w:tc>
          <w:tcPr>
            <w:tcW w:w="1532" w:type="pct"/>
            <w:gridSpan w:val="3"/>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Supuestos</w:t>
            </w:r>
          </w:p>
        </w:tc>
      </w:tr>
      <w:tr w:rsidR="005E6276" w:rsidRPr="008B20EC" w:rsidTr="005E6276">
        <w:trPr>
          <w:trHeight w:val="2112"/>
        </w:trPr>
        <w:tc>
          <w:tcPr>
            <w:tcW w:w="1987" w:type="pct"/>
            <w:gridSpan w:val="3"/>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lastRenderedPageBreak/>
              <w:t>Valoración de usuarios y atención de los pacientes</w:t>
            </w:r>
          </w:p>
        </w:tc>
        <w:tc>
          <w:tcPr>
            <w:tcW w:w="1481" w:type="pct"/>
            <w:gridSpan w:val="3"/>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t> </w:t>
            </w:r>
          </w:p>
        </w:tc>
        <w:tc>
          <w:tcPr>
            <w:tcW w:w="1532" w:type="pct"/>
            <w:gridSpan w:val="3"/>
            <w:hideMark/>
          </w:tcPr>
          <w:p w:rsidR="008B20EC" w:rsidRPr="008B20EC" w:rsidRDefault="008B20EC" w:rsidP="008B20EC">
            <w:pPr>
              <w:spacing w:before="120" w:after="120" w:line="276" w:lineRule="auto"/>
              <w:rPr>
                <w:rFonts w:ascii="Noto Sans" w:hAnsi="Noto Sans" w:cs="Noto Sans"/>
                <w:sz w:val="20"/>
                <w:szCs w:val="22"/>
              </w:rPr>
            </w:pPr>
            <w:r w:rsidRPr="008B20EC">
              <w:rPr>
                <w:rFonts w:ascii="Noto Sans" w:hAnsi="Noto Sans" w:cs="Noto Sans"/>
                <w:sz w:val="20"/>
                <w:szCs w:val="22"/>
              </w:rPr>
              <w:br/>
              <w:t xml:space="preserve">1.- La población cumple con las actividades médicas comprometidas con la unidad médica.  2.- La población y los prestadores de servicios de la salud identifican a los hospitales de alta especialidad como instituciones para atender problemas de mayor complejidad en salud. 3.- Los profesionales de la salud completan las plantillas de personal de los hospitales de alta especialidad  </w:t>
            </w:r>
          </w:p>
        </w:tc>
      </w:tr>
      <w:tr w:rsidR="005E6276" w:rsidRPr="008B20EC" w:rsidTr="005E6276">
        <w:trPr>
          <w:trHeight w:val="405"/>
        </w:trPr>
        <w:tc>
          <w:tcPr>
            <w:tcW w:w="62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Indicador</w:t>
            </w:r>
          </w:p>
        </w:tc>
        <w:tc>
          <w:tcPr>
            <w:tcW w:w="67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Definición</w:t>
            </w:r>
          </w:p>
        </w:tc>
        <w:tc>
          <w:tcPr>
            <w:tcW w:w="68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Método de Calculo</w:t>
            </w:r>
          </w:p>
        </w:tc>
        <w:tc>
          <w:tcPr>
            <w:tcW w:w="472"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Tipo de Valor de la Meta</w:t>
            </w:r>
          </w:p>
        </w:tc>
        <w:tc>
          <w:tcPr>
            <w:tcW w:w="49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Unidad de Medida</w:t>
            </w:r>
          </w:p>
        </w:tc>
        <w:tc>
          <w:tcPr>
            <w:tcW w:w="510"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Tipo de Indicador</w:t>
            </w:r>
          </w:p>
        </w:tc>
        <w:tc>
          <w:tcPr>
            <w:tcW w:w="488"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Dimensión del Indicador</w:t>
            </w:r>
          </w:p>
        </w:tc>
        <w:tc>
          <w:tcPr>
            <w:tcW w:w="49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Frecuencia de Medición</w:t>
            </w:r>
          </w:p>
        </w:tc>
        <w:tc>
          <w:tcPr>
            <w:tcW w:w="551"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Medios de Verificación</w:t>
            </w:r>
          </w:p>
        </w:tc>
      </w:tr>
      <w:tr w:rsidR="005E6276" w:rsidRPr="008B20EC" w:rsidTr="005E6276">
        <w:trPr>
          <w:trHeight w:val="1680"/>
        </w:trPr>
        <w:tc>
          <w:tcPr>
            <w:tcW w:w="62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Proporción de consultas de primera vez respecto a preconsultas</w:t>
            </w:r>
          </w:p>
        </w:tc>
        <w:tc>
          <w:tcPr>
            <w:tcW w:w="67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Esla relación entre el número de consultas otorgadas de primera vez y el numero de preconsultas</w:t>
            </w:r>
          </w:p>
        </w:tc>
        <w:tc>
          <w:tcPr>
            <w:tcW w:w="68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 xml:space="preserve">(Número de consultas de primera vez otorgadas en el periodo / Número de preconsultas otorgadas en </w:t>
            </w:r>
            <w:r w:rsidRPr="008B20EC">
              <w:rPr>
                <w:rFonts w:ascii="Noto Sans" w:hAnsi="Noto Sans" w:cs="Noto Sans"/>
                <w:b/>
                <w:bCs/>
                <w:sz w:val="20"/>
                <w:szCs w:val="22"/>
              </w:rPr>
              <w:lastRenderedPageBreak/>
              <w:t xml:space="preserve">el periodo) x 100  </w:t>
            </w:r>
          </w:p>
        </w:tc>
        <w:tc>
          <w:tcPr>
            <w:tcW w:w="472"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lastRenderedPageBreak/>
              <w:t>Relativo</w:t>
            </w:r>
          </w:p>
        </w:tc>
        <w:tc>
          <w:tcPr>
            <w:tcW w:w="49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Proporción</w:t>
            </w:r>
          </w:p>
        </w:tc>
        <w:tc>
          <w:tcPr>
            <w:tcW w:w="510"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Gestión</w:t>
            </w:r>
          </w:p>
        </w:tc>
        <w:tc>
          <w:tcPr>
            <w:tcW w:w="488"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Eficiencia</w:t>
            </w:r>
          </w:p>
        </w:tc>
        <w:tc>
          <w:tcPr>
            <w:tcW w:w="49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Trimestral</w:t>
            </w:r>
          </w:p>
        </w:tc>
        <w:tc>
          <w:tcPr>
            <w:tcW w:w="551"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CCINSHAE.  Información recibida de las unidades coordinadas</w:t>
            </w:r>
          </w:p>
        </w:tc>
      </w:tr>
      <w:tr w:rsidR="005E6276" w:rsidRPr="008B20EC" w:rsidTr="005E6276">
        <w:trPr>
          <w:trHeight w:val="1332"/>
        </w:trPr>
        <w:tc>
          <w:tcPr>
            <w:tcW w:w="62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Porcentaje de pacientes atendidos de segundo nivel</w:t>
            </w:r>
          </w:p>
        </w:tc>
        <w:tc>
          <w:tcPr>
            <w:tcW w:w="67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Es la relación entre pacientes atendidos por patoogías de segundo nivel y el numero de todos los pacientes atendidos</w:t>
            </w:r>
          </w:p>
        </w:tc>
        <w:tc>
          <w:tcPr>
            <w:tcW w:w="68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2 (Número de pacientes atendidos de segundo nivel) / (Total de pacientes atendidos) x 100</w:t>
            </w:r>
          </w:p>
        </w:tc>
        <w:tc>
          <w:tcPr>
            <w:tcW w:w="472"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Relativo</w:t>
            </w:r>
          </w:p>
        </w:tc>
        <w:tc>
          <w:tcPr>
            <w:tcW w:w="49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Porcentaje</w:t>
            </w:r>
          </w:p>
        </w:tc>
        <w:tc>
          <w:tcPr>
            <w:tcW w:w="510"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Gestión</w:t>
            </w:r>
          </w:p>
        </w:tc>
        <w:tc>
          <w:tcPr>
            <w:tcW w:w="488"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Eficiencia</w:t>
            </w:r>
          </w:p>
        </w:tc>
        <w:tc>
          <w:tcPr>
            <w:tcW w:w="49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Trimestral</w:t>
            </w:r>
          </w:p>
        </w:tc>
        <w:tc>
          <w:tcPr>
            <w:tcW w:w="551"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CCINSHAE.  Información recibida de las unidades coordinadas</w:t>
            </w:r>
          </w:p>
        </w:tc>
      </w:tr>
      <w:tr w:rsidR="005E6276" w:rsidRPr="008B20EC" w:rsidTr="005E6276">
        <w:trPr>
          <w:trHeight w:val="1020"/>
        </w:trPr>
        <w:tc>
          <w:tcPr>
            <w:tcW w:w="62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Porcentaje de pacientes atendidos de tercer nivel</w:t>
            </w:r>
          </w:p>
        </w:tc>
        <w:tc>
          <w:tcPr>
            <w:tcW w:w="67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 xml:space="preserve">Es la relación entre pacientes atendidos por aptologias de tercer nivel y el numero de todos los </w:t>
            </w:r>
            <w:r w:rsidRPr="008B20EC">
              <w:rPr>
                <w:rFonts w:ascii="Noto Sans" w:hAnsi="Noto Sans" w:cs="Noto Sans"/>
                <w:b/>
                <w:bCs/>
                <w:sz w:val="20"/>
                <w:szCs w:val="22"/>
              </w:rPr>
              <w:lastRenderedPageBreak/>
              <w:t>pacientes atendidos</w:t>
            </w:r>
          </w:p>
        </w:tc>
        <w:tc>
          <w:tcPr>
            <w:tcW w:w="68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lastRenderedPageBreak/>
              <w:t>3 (Número de pacientes atendidos de tercer nivel) / (Total de pacientes atendidos) x 100</w:t>
            </w:r>
          </w:p>
        </w:tc>
        <w:tc>
          <w:tcPr>
            <w:tcW w:w="472"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Relativo</w:t>
            </w:r>
          </w:p>
        </w:tc>
        <w:tc>
          <w:tcPr>
            <w:tcW w:w="49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Porcentaje</w:t>
            </w:r>
          </w:p>
        </w:tc>
        <w:tc>
          <w:tcPr>
            <w:tcW w:w="510"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Gestión</w:t>
            </w:r>
          </w:p>
        </w:tc>
        <w:tc>
          <w:tcPr>
            <w:tcW w:w="488"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Eficiencia</w:t>
            </w:r>
          </w:p>
        </w:tc>
        <w:tc>
          <w:tcPr>
            <w:tcW w:w="49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Trimestral</w:t>
            </w:r>
          </w:p>
        </w:tc>
        <w:tc>
          <w:tcPr>
            <w:tcW w:w="551"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CCINSHAE.  Información recibida de las unidades coordinadas</w:t>
            </w:r>
          </w:p>
        </w:tc>
      </w:tr>
      <w:tr w:rsidR="005E6276" w:rsidRPr="008B20EC" w:rsidTr="005E6276">
        <w:trPr>
          <w:trHeight w:val="1632"/>
        </w:trPr>
        <w:tc>
          <w:tcPr>
            <w:tcW w:w="62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Tasa de infección nosocomial por mil días de estancia hospitalaria</w:t>
            </w:r>
          </w:p>
        </w:tc>
        <w:tc>
          <w:tcPr>
            <w:tcW w:w="67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Es la relación entre el número de infecciones nosocomiales y el número de días de estancia hospitalaria.</w:t>
            </w:r>
          </w:p>
        </w:tc>
        <w:tc>
          <w:tcPr>
            <w:tcW w:w="68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 xml:space="preserve">(Número de episodios de infecciones nosocomiales registrados en el periodo de reporte / Total de días estancia en el periodo de reporte) x 1000 </w:t>
            </w:r>
          </w:p>
        </w:tc>
        <w:tc>
          <w:tcPr>
            <w:tcW w:w="472"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Relativo</w:t>
            </w:r>
          </w:p>
        </w:tc>
        <w:tc>
          <w:tcPr>
            <w:tcW w:w="499"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Tasa</w:t>
            </w:r>
          </w:p>
        </w:tc>
        <w:tc>
          <w:tcPr>
            <w:tcW w:w="510"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Gestión</w:t>
            </w:r>
          </w:p>
        </w:tc>
        <w:tc>
          <w:tcPr>
            <w:tcW w:w="488"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Calidad</w:t>
            </w:r>
          </w:p>
        </w:tc>
        <w:tc>
          <w:tcPr>
            <w:tcW w:w="494"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Trimestral</w:t>
            </w:r>
          </w:p>
        </w:tc>
        <w:tc>
          <w:tcPr>
            <w:tcW w:w="551" w:type="pct"/>
            <w:hideMark/>
          </w:tcPr>
          <w:p w:rsidR="008B20EC" w:rsidRPr="008B20EC" w:rsidRDefault="008B20EC" w:rsidP="008B20EC">
            <w:pPr>
              <w:spacing w:before="120" w:after="120" w:line="276" w:lineRule="auto"/>
              <w:rPr>
                <w:rFonts w:ascii="Noto Sans" w:hAnsi="Noto Sans" w:cs="Noto Sans"/>
                <w:b/>
                <w:bCs/>
                <w:sz w:val="20"/>
                <w:szCs w:val="22"/>
              </w:rPr>
            </w:pPr>
            <w:r w:rsidRPr="008B20EC">
              <w:rPr>
                <w:rFonts w:ascii="Noto Sans" w:hAnsi="Noto Sans" w:cs="Noto Sans"/>
                <w:b/>
                <w:bCs/>
                <w:sz w:val="20"/>
                <w:szCs w:val="22"/>
              </w:rPr>
              <w:t>CCINSHAE.  Información recibida de las unidades coordinadas</w:t>
            </w:r>
          </w:p>
        </w:tc>
      </w:tr>
    </w:tbl>
    <w:p w:rsidR="008B20EC" w:rsidRDefault="008B20EC" w:rsidP="008B20EC">
      <w:pPr>
        <w:spacing w:before="120" w:after="120" w:line="276" w:lineRule="auto"/>
        <w:rPr>
          <w:rFonts w:ascii="Noto Sans" w:hAnsi="Noto Sans" w:cs="Noto Sans"/>
          <w:sz w:val="20"/>
          <w:szCs w:val="22"/>
        </w:rPr>
      </w:pPr>
    </w:p>
    <w:p w:rsidR="005E6276" w:rsidRDefault="005E6276" w:rsidP="008B20EC">
      <w:pPr>
        <w:spacing w:before="120" w:after="120" w:line="276" w:lineRule="auto"/>
        <w:rPr>
          <w:rFonts w:ascii="Noto Sans" w:hAnsi="Noto Sans" w:cs="Noto Sans"/>
          <w:sz w:val="20"/>
          <w:szCs w:val="22"/>
        </w:rPr>
      </w:pPr>
    </w:p>
    <w:p w:rsidR="005E6276" w:rsidRDefault="005E6276" w:rsidP="008B20EC">
      <w:pPr>
        <w:spacing w:before="120" w:after="120" w:line="276" w:lineRule="auto"/>
        <w:rPr>
          <w:rFonts w:ascii="Noto Sans" w:hAnsi="Noto Sans" w:cs="Noto Sans"/>
          <w:sz w:val="20"/>
          <w:szCs w:val="22"/>
        </w:rPr>
      </w:pPr>
    </w:p>
    <w:p w:rsidR="005E6276" w:rsidRDefault="005E6276" w:rsidP="008B20EC">
      <w:pPr>
        <w:spacing w:before="120" w:after="120" w:line="276" w:lineRule="auto"/>
        <w:rPr>
          <w:rFonts w:ascii="Noto Sans" w:hAnsi="Noto Sans" w:cs="Noto Sans"/>
          <w:sz w:val="20"/>
          <w:szCs w:val="22"/>
        </w:rPr>
      </w:pPr>
    </w:p>
    <w:p w:rsidR="005E6276" w:rsidRDefault="005E6276" w:rsidP="008B20EC">
      <w:pPr>
        <w:spacing w:before="120" w:after="120" w:line="276" w:lineRule="auto"/>
        <w:rPr>
          <w:rFonts w:ascii="Noto Sans" w:hAnsi="Noto Sans" w:cs="Noto Sans"/>
          <w:sz w:val="20"/>
          <w:szCs w:val="22"/>
        </w:rPr>
      </w:pPr>
    </w:p>
    <w:p w:rsidR="005E6276" w:rsidRDefault="005E6276" w:rsidP="008B20EC">
      <w:pPr>
        <w:spacing w:before="120" w:after="120" w:line="276" w:lineRule="auto"/>
        <w:rPr>
          <w:rFonts w:ascii="Noto Sans" w:hAnsi="Noto Sans" w:cs="Noto Sans"/>
          <w:sz w:val="20"/>
          <w:szCs w:val="22"/>
        </w:rPr>
      </w:pPr>
    </w:p>
    <w:p w:rsidR="005E6276" w:rsidRDefault="005E6276" w:rsidP="008B20EC">
      <w:pPr>
        <w:spacing w:before="120" w:after="120" w:line="276" w:lineRule="auto"/>
        <w:rPr>
          <w:rFonts w:ascii="Noto Sans" w:hAnsi="Noto Sans" w:cs="Noto Sans"/>
          <w:sz w:val="20"/>
          <w:szCs w:val="22"/>
        </w:rPr>
      </w:pPr>
    </w:p>
    <w:p w:rsidR="005E6276" w:rsidRPr="005C7F13" w:rsidRDefault="005E6276" w:rsidP="008B20EC">
      <w:pPr>
        <w:spacing w:before="120" w:after="120" w:line="276" w:lineRule="auto"/>
        <w:rPr>
          <w:rFonts w:ascii="Noto Sans" w:hAnsi="Noto Sans" w:cs="Noto Sans"/>
          <w:sz w:val="20"/>
          <w:szCs w:val="22"/>
        </w:rPr>
      </w:pPr>
    </w:p>
    <w:sectPr w:rsidR="005E6276" w:rsidRPr="005C7F13" w:rsidSect="002324F1">
      <w:pgSz w:w="15840" w:h="12240" w:orient="landscape"/>
      <w:pgMar w:top="1701" w:right="2126"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53719" w:rsidRDefault="00B53719" w:rsidP="00DC5F91">
      <w:r>
        <w:separator/>
      </w:r>
    </w:p>
  </w:endnote>
  <w:endnote w:type="continuationSeparator" w:id="0">
    <w:p w:rsidR="00B53719" w:rsidRDefault="00B53719" w:rsidP="00DC5F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w:altName w:val="Bahnschrift Light"/>
    <w:panose1 w:val="020B0502040504020204"/>
    <w:charset w:val="00"/>
    <w:family w:val="swiss"/>
    <w:pitch w:val="variable"/>
    <w:sig w:usb0="E00082FF" w:usb1="400078FF" w:usb2="08000029"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oberana Sans">
    <w:altName w:val="Times New Roman"/>
    <w:panose1 w:val="00000000000000000000"/>
    <w:charset w:val="00"/>
    <w:family w:val="modern"/>
    <w:notTrueType/>
    <w:pitch w:val="variable"/>
    <w:sig w:usb0="800000AF" w:usb1="4000204B" w:usb2="00000000" w:usb3="00000000" w:csb0="00000001"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719" w:rsidRPr="00DC5F91" w:rsidRDefault="00B53719" w:rsidP="00DC5F91">
    <w:pPr>
      <w:pStyle w:val="Piedepgina"/>
      <w:jc w:val="center"/>
      <w:rPr>
        <w:rFonts w:ascii="Noto Sans" w:hAnsi="Noto Sans" w:cs="Noto Sans"/>
        <w:sz w:val="20"/>
      </w:rPr>
    </w:pPr>
    <w:r w:rsidRPr="00DC5F91">
      <w:rPr>
        <w:rFonts w:ascii="Noto Sans" w:hAnsi="Noto Sans" w:cs="Noto Sans"/>
        <w:sz w:val="20"/>
        <w:lang w:val="es-ES"/>
      </w:rPr>
      <w:t xml:space="preserve">Página </w:t>
    </w:r>
    <w:r w:rsidRPr="00DC5F91">
      <w:rPr>
        <w:rFonts w:ascii="Noto Sans" w:hAnsi="Noto Sans" w:cs="Noto Sans"/>
        <w:sz w:val="20"/>
      </w:rPr>
      <w:fldChar w:fldCharType="begin"/>
    </w:r>
    <w:r w:rsidRPr="00DC5F91">
      <w:rPr>
        <w:rFonts w:ascii="Noto Sans" w:hAnsi="Noto Sans" w:cs="Noto Sans"/>
        <w:sz w:val="20"/>
      </w:rPr>
      <w:instrText>PAGE  \* Arabic  \* MERGEFORMAT</w:instrText>
    </w:r>
    <w:r w:rsidRPr="00DC5F91">
      <w:rPr>
        <w:rFonts w:ascii="Noto Sans" w:hAnsi="Noto Sans" w:cs="Noto Sans"/>
        <w:sz w:val="20"/>
      </w:rPr>
      <w:fldChar w:fldCharType="separate"/>
    </w:r>
    <w:r w:rsidR="00217656" w:rsidRPr="00217656">
      <w:rPr>
        <w:rFonts w:ascii="Noto Sans" w:hAnsi="Noto Sans" w:cs="Noto Sans"/>
        <w:noProof/>
        <w:sz w:val="20"/>
        <w:lang w:val="es-ES"/>
      </w:rPr>
      <w:t>59</w:t>
    </w:r>
    <w:r w:rsidRPr="00DC5F91">
      <w:rPr>
        <w:rFonts w:ascii="Noto Sans" w:hAnsi="Noto Sans" w:cs="Noto Sans"/>
        <w:sz w:val="20"/>
      </w:rPr>
      <w:fldChar w:fldCharType="end"/>
    </w:r>
    <w:r w:rsidRPr="00DC5F91">
      <w:rPr>
        <w:rFonts w:ascii="Noto Sans" w:hAnsi="Noto Sans" w:cs="Noto Sans"/>
        <w:sz w:val="20"/>
        <w:lang w:val="es-ES"/>
      </w:rPr>
      <w:t xml:space="preserve"> de </w:t>
    </w:r>
    <w:r w:rsidRPr="00DC5F91">
      <w:rPr>
        <w:rFonts w:ascii="Noto Sans" w:hAnsi="Noto Sans" w:cs="Noto Sans"/>
        <w:sz w:val="20"/>
      </w:rPr>
      <w:fldChar w:fldCharType="begin"/>
    </w:r>
    <w:r w:rsidRPr="00DC5F91">
      <w:rPr>
        <w:rFonts w:ascii="Noto Sans" w:hAnsi="Noto Sans" w:cs="Noto Sans"/>
        <w:sz w:val="20"/>
      </w:rPr>
      <w:instrText>NUMPAGES  \* Arabic  \* MERGEFORMAT</w:instrText>
    </w:r>
    <w:r w:rsidRPr="00DC5F91">
      <w:rPr>
        <w:rFonts w:ascii="Noto Sans" w:hAnsi="Noto Sans" w:cs="Noto Sans"/>
        <w:sz w:val="20"/>
      </w:rPr>
      <w:fldChar w:fldCharType="separate"/>
    </w:r>
    <w:r w:rsidR="00217656" w:rsidRPr="00217656">
      <w:rPr>
        <w:rFonts w:ascii="Noto Sans" w:hAnsi="Noto Sans" w:cs="Noto Sans"/>
        <w:noProof/>
        <w:sz w:val="20"/>
        <w:lang w:val="es-ES"/>
      </w:rPr>
      <w:t>66</w:t>
    </w:r>
    <w:r w:rsidRPr="00DC5F91">
      <w:rPr>
        <w:rFonts w:ascii="Noto Sans" w:hAnsi="Noto Sans" w:cs="Noto Sans"/>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53719" w:rsidRDefault="00B53719" w:rsidP="00DC5F91">
      <w:r>
        <w:separator/>
      </w:r>
    </w:p>
  </w:footnote>
  <w:footnote w:type="continuationSeparator" w:id="0">
    <w:p w:rsidR="00B53719" w:rsidRDefault="00B53719" w:rsidP="00DC5F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719" w:rsidRDefault="00B53719">
    <w:pPr>
      <w:pStyle w:val="Encabezado"/>
      <w:rPr>
        <w:i/>
      </w:rPr>
    </w:pPr>
    <w:r>
      <w:rPr>
        <w:noProof/>
        <w:lang w:val="en-US" w:eastAsia="en-US"/>
      </w:rPr>
      <w:drawing>
        <wp:anchor distT="0" distB="0" distL="114300" distR="114300" simplePos="0" relativeHeight="251659264" behindDoc="1" locked="0" layoutInCell="1" allowOverlap="1" wp14:anchorId="6EC69FBE" wp14:editId="411CC3B4">
          <wp:simplePos x="0" y="0"/>
          <wp:positionH relativeFrom="column">
            <wp:posOffset>4914900</wp:posOffset>
          </wp:positionH>
          <wp:positionV relativeFrom="paragraph">
            <wp:posOffset>-71755</wp:posOffset>
          </wp:positionV>
          <wp:extent cx="1057275" cy="1076325"/>
          <wp:effectExtent l="0" t="0" r="9525" b="9525"/>
          <wp:wrapNone/>
          <wp:docPr id="1" name="Imagen 1" descr="HOJA MEMBRETADA_HACIENDA_Mesa de trabajo 1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JA MEMBRETADA_HACIENDA_Mesa de trabajo 1 copia"/>
                  <pic:cNvPicPr>
                    <a:picLocks noChangeAspect="1" noChangeArrowheads="1"/>
                  </pic:cNvPicPr>
                </pic:nvPicPr>
                <pic:blipFill rotWithShape="1">
                  <a:blip r:embed="rId1">
                    <a:extLst>
                      <a:ext uri="{28A0092B-C50C-407E-A947-70E740481C1C}">
                        <a14:useLocalDpi xmlns:a14="http://schemas.microsoft.com/office/drawing/2010/main" val="0"/>
                      </a:ext>
                    </a:extLst>
                  </a:blip>
                  <a:srcRect l="81628" t="3294" r="4849" b="86070"/>
                  <a:stretch/>
                </pic:blipFill>
                <pic:spPr bwMode="auto">
                  <a:xfrm>
                    <a:off x="0" y="0"/>
                    <a:ext cx="1057275" cy="1076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53719" w:rsidRPr="00DC5F91" w:rsidRDefault="00B53719">
    <w:pPr>
      <w:pStyle w:val="Encabezado"/>
      <w:rPr>
        <w:i/>
      </w:rPr>
    </w:pPr>
    <w:r>
      <w:rPr>
        <w:i/>
        <w:noProof/>
        <w:lang w:val="en-US" w:eastAsia="en-US"/>
      </w:rPr>
      <w:drawing>
        <wp:inline distT="0" distB="0" distL="0" distR="0" wp14:anchorId="34AC3EA1" wp14:editId="54D54FD9">
          <wp:extent cx="3126644" cy="709876"/>
          <wp:effectExtent l="0" t="0" r="0" b="0"/>
          <wp:docPr id="312743536" name="Imagen 90"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23707" name="Imagen 90" descr="Interfaz de usuario gráfica&#10;&#10;El contenido generado por IA puede ser incorrecto."/>
                  <pic:cNvPicPr/>
                </pic:nvPicPr>
                <pic:blipFill>
                  <a:blip r:embed="rId2">
                    <a:extLst>
                      <a:ext uri="{28A0092B-C50C-407E-A947-70E740481C1C}">
                        <a14:useLocalDpi xmlns:a14="http://schemas.microsoft.com/office/drawing/2010/main" val="0"/>
                      </a:ext>
                    </a:extLst>
                  </a:blip>
                  <a:stretch>
                    <a:fillRect/>
                  </a:stretch>
                </pic:blipFill>
                <pic:spPr>
                  <a:xfrm>
                    <a:off x="0" y="0"/>
                    <a:ext cx="3291613" cy="74733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719" w:rsidRDefault="00B53719">
    <w:pPr>
      <w:pStyle w:val="Encabezado"/>
      <w:rPr>
        <w:i/>
      </w:rPr>
    </w:pPr>
    <w:r>
      <w:rPr>
        <w:noProof/>
        <w:lang w:val="en-US" w:eastAsia="en-US"/>
      </w:rPr>
      <w:drawing>
        <wp:anchor distT="0" distB="0" distL="114300" distR="114300" simplePos="0" relativeHeight="251663360" behindDoc="1" locked="0" layoutInCell="1" allowOverlap="1" wp14:anchorId="4095F962" wp14:editId="0A76A046">
          <wp:simplePos x="0" y="0"/>
          <wp:positionH relativeFrom="column">
            <wp:posOffset>7808410</wp:posOffset>
          </wp:positionH>
          <wp:positionV relativeFrom="paragraph">
            <wp:posOffset>-177528</wp:posOffset>
          </wp:positionV>
          <wp:extent cx="1057275" cy="1076325"/>
          <wp:effectExtent l="0" t="0" r="9525" b="9525"/>
          <wp:wrapNone/>
          <wp:docPr id="1259479127" name="Imagen 1259479127" descr="HOJA MEMBRETADA_HACIENDA_Mesa de trabajo 1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JA MEMBRETADA_HACIENDA_Mesa de trabajo 1 copia"/>
                  <pic:cNvPicPr>
                    <a:picLocks noChangeAspect="1" noChangeArrowheads="1"/>
                  </pic:cNvPicPr>
                </pic:nvPicPr>
                <pic:blipFill rotWithShape="1">
                  <a:blip r:embed="rId1">
                    <a:extLst>
                      <a:ext uri="{28A0092B-C50C-407E-A947-70E740481C1C}">
                        <a14:useLocalDpi xmlns:a14="http://schemas.microsoft.com/office/drawing/2010/main" val="0"/>
                      </a:ext>
                    </a:extLst>
                  </a:blip>
                  <a:srcRect l="81628" t="3294" r="4849" b="86070"/>
                  <a:stretch/>
                </pic:blipFill>
                <pic:spPr bwMode="auto">
                  <a:xfrm>
                    <a:off x="0" y="0"/>
                    <a:ext cx="1057275" cy="1076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53719" w:rsidRPr="00DC5F91" w:rsidRDefault="00B53719">
    <w:pPr>
      <w:pStyle w:val="Encabezado"/>
      <w:rPr>
        <w:i/>
      </w:rPr>
    </w:pPr>
    <w:r>
      <w:rPr>
        <w:i/>
        <w:noProof/>
        <w:lang w:val="en-US" w:eastAsia="en-US"/>
      </w:rPr>
      <w:drawing>
        <wp:inline distT="0" distB="0" distL="0" distR="0" wp14:anchorId="3D49C668" wp14:editId="524D6962">
          <wp:extent cx="3126644" cy="709876"/>
          <wp:effectExtent l="0" t="0" r="0" b="0"/>
          <wp:docPr id="1259479128" name="Imagen 90"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23707" name="Imagen 90" descr="Interfaz de usuario gráfica&#10;&#10;El contenido generado por IA puede ser incorrecto."/>
                  <pic:cNvPicPr/>
                </pic:nvPicPr>
                <pic:blipFill>
                  <a:blip r:embed="rId2">
                    <a:extLst>
                      <a:ext uri="{28A0092B-C50C-407E-A947-70E740481C1C}">
                        <a14:useLocalDpi xmlns:a14="http://schemas.microsoft.com/office/drawing/2010/main" val="0"/>
                      </a:ext>
                    </a:extLst>
                  </a:blip>
                  <a:stretch>
                    <a:fillRect/>
                  </a:stretch>
                </pic:blipFill>
                <pic:spPr>
                  <a:xfrm>
                    <a:off x="0" y="0"/>
                    <a:ext cx="3291613" cy="747331"/>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719" w:rsidRDefault="00B53719">
    <w:pPr>
      <w:pStyle w:val="Encabezado"/>
      <w:rPr>
        <w:i/>
      </w:rPr>
    </w:pPr>
    <w:r>
      <w:rPr>
        <w:noProof/>
        <w:lang w:val="en-US" w:eastAsia="en-US"/>
      </w:rPr>
      <w:drawing>
        <wp:anchor distT="0" distB="0" distL="114300" distR="114300" simplePos="0" relativeHeight="251661312" behindDoc="1" locked="0" layoutInCell="1" allowOverlap="1" wp14:anchorId="35225C44" wp14:editId="023A7A25">
          <wp:simplePos x="0" y="0"/>
          <wp:positionH relativeFrom="column">
            <wp:posOffset>4914900</wp:posOffset>
          </wp:positionH>
          <wp:positionV relativeFrom="paragraph">
            <wp:posOffset>-71755</wp:posOffset>
          </wp:positionV>
          <wp:extent cx="1057275" cy="1076325"/>
          <wp:effectExtent l="0" t="0" r="9525" b="9525"/>
          <wp:wrapNone/>
          <wp:docPr id="1084779786" name="Imagen 1084779786" descr="HOJA MEMBRETADA_HACIENDA_Mesa de trabajo 1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JA MEMBRETADA_HACIENDA_Mesa de trabajo 1 copia"/>
                  <pic:cNvPicPr>
                    <a:picLocks noChangeAspect="1" noChangeArrowheads="1"/>
                  </pic:cNvPicPr>
                </pic:nvPicPr>
                <pic:blipFill rotWithShape="1">
                  <a:blip r:embed="rId1">
                    <a:extLst>
                      <a:ext uri="{28A0092B-C50C-407E-A947-70E740481C1C}">
                        <a14:useLocalDpi xmlns:a14="http://schemas.microsoft.com/office/drawing/2010/main" val="0"/>
                      </a:ext>
                    </a:extLst>
                  </a:blip>
                  <a:srcRect l="81628" t="3294" r="4849" b="86070"/>
                  <a:stretch/>
                </pic:blipFill>
                <pic:spPr bwMode="auto">
                  <a:xfrm>
                    <a:off x="0" y="0"/>
                    <a:ext cx="1057275" cy="1076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53719" w:rsidRPr="00DC5F91" w:rsidRDefault="00B53719">
    <w:pPr>
      <w:pStyle w:val="Encabezado"/>
      <w:rPr>
        <w:i/>
      </w:rPr>
    </w:pPr>
    <w:r>
      <w:rPr>
        <w:i/>
        <w:noProof/>
        <w:lang w:val="en-US" w:eastAsia="en-US"/>
      </w:rPr>
      <w:drawing>
        <wp:inline distT="0" distB="0" distL="0" distR="0" wp14:anchorId="186C7DF7" wp14:editId="152919C5">
          <wp:extent cx="3126644" cy="709876"/>
          <wp:effectExtent l="0" t="0" r="0" b="0"/>
          <wp:docPr id="1084779787" name="Imagen 90"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23707" name="Imagen 90" descr="Interfaz de usuario gráfica&#10;&#10;El contenido generado por IA puede ser incorrecto."/>
                  <pic:cNvPicPr/>
                </pic:nvPicPr>
                <pic:blipFill>
                  <a:blip r:embed="rId2">
                    <a:extLst>
                      <a:ext uri="{28A0092B-C50C-407E-A947-70E740481C1C}">
                        <a14:useLocalDpi xmlns:a14="http://schemas.microsoft.com/office/drawing/2010/main" val="0"/>
                      </a:ext>
                    </a:extLst>
                  </a:blip>
                  <a:stretch>
                    <a:fillRect/>
                  </a:stretch>
                </pic:blipFill>
                <pic:spPr>
                  <a:xfrm>
                    <a:off x="0" y="0"/>
                    <a:ext cx="3291613" cy="747331"/>
                  </a:xfrm>
                  <a:prstGeom prst="rect">
                    <a:avLst/>
                  </a:prstGeom>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719" w:rsidRDefault="00B53719">
    <w:pPr>
      <w:pStyle w:val="Encabezado"/>
      <w:rPr>
        <w:i/>
      </w:rPr>
    </w:pPr>
    <w:r>
      <w:rPr>
        <w:noProof/>
        <w:lang w:val="en-US" w:eastAsia="en-US"/>
      </w:rPr>
      <w:drawing>
        <wp:anchor distT="0" distB="0" distL="114300" distR="114300" simplePos="0" relativeHeight="251667456" behindDoc="1" locked="0" layoutInCell="1" allowOverlap="1" wp14:anchorId="4B6E96D4" wp14:editId="3CC2237E">
          <wp:simplePos x="0" y="0"/>
          <wp:positionH relativeFrom="column">
            <wp:posOffset>7509156</wp:posOffset>
          </wp:positionH>
          <wp:positionV relativeFrom="paragraph">
            <wp:posOffset>-215265</wp:posOffset>
          </wp:positionV>
          <wp:extent cx="1057275" cy="1076325"/>
          <wp:effectExtent l="0" t="0" r="9525" b="9525"/>
          <wp:wrapNone/>
          <wp:docPr id="1084779790" name="Imagen 1084779790" descr="HOJA MEMBRETADA_HACIENDA_Mesa de trabajo 1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JA MEMBRETADA_HACIENDA_Mesa de trabajo 1 copia"/>
                  <pic:cNvPicPr>
                    <a:picLocks noChangeAspect="1" noChangeArrowheads="1"/>
                  </pic:cNvPicPr>
                </pic:nvPicPr>
                <pic:blipFill rotWithShape="1">
                  <a:blip r:embed="rId1">
                    <a:extLst>
                      <a:ext uri="{28A0092B-C50C-407E-A947-70E740481C1C}">
                        <a14:useLocalDpi xmlns:a14="http://schemas.microsoft.com/office/drawing/2010/main" val="0"/>
                      </a:ext>
                    </a:extLst>
                  </a:blip>
                  <a:srcRect l="81628" t="3294" r="4849" b="86070"/>
                  <a:stretch/>
                </pic:blipFill>
                <pic:spPr bwMode="auto">
                  <a:xfrm>
                    <a:off x="0" y="0"/>
                    <a:ext cx="1057275" cy="1076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53719" w:rsidRPr="00DC5F91" w:rsidRDefault="00B53719">
    <w:pPr>
      <w:pStyle w:val="Encabezado"/>
      <w:rPr>
        <w:i/>
      </w:rPr>
    </w:pPr>
    <w:r>
      <w:rPr>
        <w:i/>
        <w:noProof/>
        <w:lang w:val="en-US" w:eastAsia="en-US"/>
      </w:rPr>
      <w:drawing>
        <wp:inline distT="0" distB="0" distL="0" distR="0" wp14:anchorId="61017F65" wp14:editId="11812F91">
          <wp:extent cx="3126644" cy="709876"/>
          <wp:effectExtent l="0" t="0" r="0" b="0"/>
          <wp:docPr id="1084779791" name="Imagen 90"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23707" name="Imagen 90" descr="Interfaz de usuario gráfica&#10;&#10;El contenido generado por IA puede ser incorrecto."/>
                  <pic:cNvPicPr/>
                </pic:nvPicPr>
                <pic:blipFill>
                  <a:blip r:embed="rId2">
                    <a:extLst>
                      <a:ext uri="{28A0092B-C50C-407E-A947-70E740481C1C}">
                        <a14:useLocalDpi xmlns:a14="http://schemas.microsoft.com/office/drawing/2010/main" val="0"/>
                      </a:ext>
                    </a:extLst>
                  </a:blip>
                  <a:stretch>
                    <a:fillRect/>
                  </a:stretch>
                </pic:blipFill>
                <pic:spPr>
                  <a:xfrm>
                    <a:off x="0" y="0"/>
                    <a:ext cx="3291613" cy="747331"/>
                  </a:xfrm>
                  <a:prstGeom prst="rect">
                    <a:avLst/>
                  </a:prstGeom>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719" w:rsidRDefault="00B53719">
    <w:pPr>
      <w:pStyle w:val="Encabezado"/>
      <w:rPr>
        <w:i/>
      </w:rPr>
    </w:pPr>
    <w:r>
      <w:rPr>
        <w:noProof/>
        <w:lang w:val="en-US" w:eastAsia="en-US"/>
      </w:rPr>
      <w:drawing>
        <wp:anchor distT="0" distB="0" distL="114300" distR="114300" simplePos="0" relativeHeight="251665408" behindDoc="1" locked="0" layoutInCell="1" allowOverlap="1" wp14:anchorId="5E56306C" wp14:editId="2B8C8537">
          <wp:simplePos x="0" y="0"/>
          <wp:positionH relativeFrom="column">
            <wp:posOffset>4914900</wp:posOffset>
          </wp:positionH>
          <wp:positionV relativeFrom="paragraph">
            <wp:posOffset>-71755</wp:posOffset>
          </wp:positionV>
          <wp:extent cx="1057275" cy="1076325"/>
          <wp:effectExtent l="0" t="0" r="9525" b="9525"/>
          <wp:wrapNone/>
          <wp:docPr id="7" name="Imagen 7" descr="HOJA MEMBRETADA_HACIENDA_Mesa de trabajo 1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JA MEMBRETADA_HACIENDA_Mesa de trabajo 1 copia"/>
                  <pic:cNvPicPr>
                    <a:picLocks noChangeAspect="1" noChangeArrowheads="1"/>
                  </pic:cNvPicPr>
                </pic:nvPicPr>
                <pic:blipFill rotWithShape="1">
                  <a:blip r:embed="rId1">
                    <a:extLst>
                      <a:ext uri="{28A0092B-C50C-407E-A947-70E740481C1C}">
                        <a14:useLocalDpi xmlns:a14="http://schemas.microsoft.com/office/drawing/2010/main" val="0"/>
                      </a:ext>
                    </a:extLst>
                  </a:blip>
                  <a:srcRect l="81628" t="3294" r="4849" b="86070"/>
                  <a:stretch/>
                </pic:blipFill>
                <pic:spPr bwMode="auto">
                  <a:xfrm>
                    <a:off x="0" y="0"/>
                    <a:ext cx="1057275" cy="1076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53719" w:rsidRPr="00DC5F91" w:rsidRDefault="00B53719">
    <w:pPr>
      <w:pStyle w:val="Encabezado"/>
      <w:rPr>
        <w:i/>
      </w:rPr>
    </w:pPr>
    <w:r>
      <w:rPr>
        <w:i/>
        <w:noProof/>
        <w:lang w:val="en-US" w:eastAsia="en-US"/>
      </w:rPr>
      <w:drawing>
        <wp:inline distT="0" distB="0" distL="0" distR="0" wp14:anchorId="48DF4AA0" wp14:editId="393EA614">
          <wp:extent cx="3126644" cy="709876"/>
          <wp:effectExtent l="0" t="0" r="0" b="0"/>
          <wp:docPr id="10" name="Imagen 90"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23707" name="Imagen 90" descr="Interfaz de usuario gráfica&#10;&#10;El contenido generado por IA puede ser incorrecto."/>
                  <pic:cNvPicPr/>
                </pic:nvPicPr>
                <pic:blipFill>
                  <a:blip r:embed="rId2">
                    <a:extLst>
                      <a:ext uri="{28A0092B-C50C-407E-A947-70E740481C1C}">
                        <a14:useLocalDpi xmlns:a14="http://schemas.microsoft.com/office/drawing/2010/main" val="0"/>
                      </a:ext>
                    </a:extLst>
                  </a:blip>
                  <a:stretch>
                    <a:fillRect/>
                  </a:stretch>
                </pic:blipFill>
                <pic:spPr>
                  <a:xfrm>
                    <a:off x="0" y="0"/>
                    <a:ext cx="3291613" cy="747331"/>
                  </a:xfrm>
                  <a:prstGeom prst="rect">
                    <a:avLst/>
                  </a:prstGeom>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719" w:rsidRDefault="00B53719">
    <w:pPr>
      <w:pStyle w:val="Encabezado"/>
      <w:rPr>
        <w:i/>
      </w:rPr>
    </w:pPr>
    <w:r>
      <w:rPr>
        <w:noProof/>
        <w:lang w:val="en-US" w:eastAsia="en-US"/>
      </w:rPr>
      <w:drawing>
        <wp:anchor distT="0" distB="0" distL="114300" distR="114300" simplePos="0" relativeHeight="251669504" behindDoc="1" locked="0" layoutInCell="1" allowOverlap="1" wp14:anchorId="0BF1C658" wp14:editId="0DBC0044">
          <wp:simplePos x="0" y="0"/>
          <wp:positionH relativeFrom="column">
            <wp:posOffset>8019415</wp:posOffset>
          </wp:positionH>
          <wp:positionV relativeFrom="paragraph">
            <wp:posOffset>-178406</wp:posOffset>
          </wp:positionV>
          <wp:extent cx="1057275" cy="1076325"/>
          <wp:effectExtent l="0" t="0" r="9525" b="9525"/>
          <wp:wrapNone/>
          <wp:docPr id="11" name="Imagen 11" descr="HOJA MEMBRETADA_HACIENDA_Mesa de trabajo 1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JA MEMBRETADA_HACIENDA_Mesa de trabajo 1 copia"/>
                  <pic:cNvPicPr>
                    <a:picLocks noChangeAspect="1" noChangeArrowheads="1"/>
                  </pic:cNvPicPr>
                </pic:nvPicPr>
                <pic:blipFill rotWithShape="1">
                  <a:blip r:embed="rId1">
                    <a:extLst>
                      <a:ext uri="{28A0092B-C50C-407E-A947-70E740481C1C}">
                        <a14:useLocalDpi xmlns:a14="http://schemas.microsoft.com/office/drawing/2010/main" val="0"/>
                      </a:ext>
                    </a:extLst>
                  </a:blip>
                  <a:srcRect l="81628" t="3294" r="4849" b="86070"/>
                  <a:stretch/>
                </pic:blipFill>
                <pic:spPr bwMode="auto">
                  <a:xfrm>
                    <a:off x="0" y="0"/>
                    <a:ext cx="1057275" cy="1076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53719" w:rsidRPr="00DC5F91" w:rsidRDefault="00B53719">
    <w:pPr>
      <w:pStyle w:val="Encabezado"/>
      <w:rPr>
        <w:i/>
      </w:rPr>
    </w:pPr>
    <w:r>
      <w:rPr>
        <w:i/>
        <w:noProof/>
        <w:lang w:val="en-US" w:eastAsia="en-US"/>
      </w:rPr>
      <w:drawing>
        <wp:inline distT="0" distB="0" distL="0" distR="0" wp14:anchorId="68954D6A" wp14:editId="42C7D6B1">
          <wp:extent cx="3126644" cy="709876"/>
          <wp:effectExtent l="0" t="0" r="0" b="0"/>
          <wp:docPr id="22" name="Imagen 90"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23707" name="Imagen 90" descr="Interfaz de usuario gráfica&#10;&#10;El contenido generado por IA puede ser incorrecto."/>
                  <pic:cNvPicPr/>
                </pic:nvPicPr>
                <pic:blipFill>
                  <a:blip r:embed="rId2">
                    <a:extLst>
                      <a:ext uri="{28A0092B-C50C-407E-A947-70E740481C1C}">
                        <a14:useLocalDpi xmlns:a14="http://schemas.microsoft.com/office/drawing/2010/main" val="0"/>
                      </a:ext>
                    </a:extLst>
                  </a:blip>
                  <a:stretch>
                    <a:fillRect/>
                  </a:stretch>
                </pic:blipFill>
                <pic:spPr>
                  <a:xfrm>
                    <a:off x="0" y="0"/>
                    <a:ext cx="3291613" cy="747331"/>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FB082E"/>
    <w:multiLevelType w:val="hybridMultilevel"/>
    <w:tmpl w:val="73B8D8B4"/>
    <w:lvl w:ilvl="0" w:tplc="AADC2E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19283F9E"/>
    <w:multiLevelType w:val="hybridMultilevel"/>
    <w:tmpl w:val="73AA99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3FC1B27"/>
    <w:multiLevelType w:val="hybridMultilevel"/>
    <w:tmpl w:val="35123B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9315827"/>
    <w:multiLevelType w:val="hybridMultilevel"/>
    <w:tmpl w:val="DC74CD60"/>
    <w:lvl w:ilvl="0" w:tplc="2A30E83C">
      <w:numFmt w:val="bullet"/>
      <w:lvlText w:val="-"/>
      <w:lvlJc w:val="left"/>
      <w:pPr>
        <w:ind w:left="720" w:hanging="360"/>
      </w:pPr>
      <w:rPr>
        <w:rFonts w:ascii="Noto Sans" w:eastAsiaTheme="minorEastAsia" w:hAnsi="Noto Sans" w:cs="Noto San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41826CBD"/>
    <w:multiLevelType w:val="hybridMultilevel"/>
    <w:tmpl w:val="2788D0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BBB1324"/>
    <w:multiLevelType w:val="hybridMultilevel"/>
    <w:tmpl w:val="16AC025A"/>
    <w:lvl w:ilvl="0" w:tplc="D00E2E42">
      <w:start w:val="13"/>
      <w:numFmt w:val="bullet"/>
      <w:lvlText w:val=""/>
      <w:lvlJc w:val="left"/>
      <w:pPr>
        <w:ind w:left="720" w:hanging="360"/>
      </w:pPr>
      <w:rPr>
        <w:rFonts w:ascii="Symbol" w:eastAsiaTheme="minorEastAsia" w:hAnsi="Symbol" w:cs="Noto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2612490"/>
    <w:multiLevelType w:val="hybridMultilevel"/>
    <w:tmpl w:val="36F4BB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41E24A9"/>
    <w:multiLevelType w:val="hybridMultilevel"/>
    <w:tmpl w:val="A41E9662"/>
    <w:lvl w:ilvl="0" w:tplc="9D8A32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8276580"/>
    <w:multiLevelType w:val="multilevel"/>
    <w:tmpl w:val="6F1E33B4"/>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7B9F4386"/>
    <w:multiLevelType w:val="hybridMultilevel"/>
    <w:tmpl w:val="2788D0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C5051EA"/>
    <w:multiLevelType w:val="hybridMultilevel"/>
    <w:tmpl w:val="03AAEE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D4A633A"/>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1"/>
  </w:num>
  <w:num w:numId="2">
    <w:abstractNumId w:val="3"/>
  </w:num>
  <w:num w:numId="3">
    <w:abstractNumId w:val="4"/>
  </w:num>
  <w:num w:numId="4">
    <w:abstractNumId w:val="6"/>
  </w:num>
  <w:num w:numId="5">
    <w:abstractNumId w:val="9"/>
  </w:num>
  <w:num w:numId="6">
    <w:abstractNumId w:val="2"/>
  </w:num>
  <w:num w:numId="7">
    <w:abstractNumId w:val="0"/>
  </w:num>
  <w:num w:numId="8">
    <w:abstractNumId w:val="1"/>
  </w:num>
  <w:num w:numId="9">
    <w:abstractNumId w:val="10"/>
  </w:num>
  <w:num w:numId="10">
    <w:abstractNumId w:val="8"/>
  </w:num>
  <w:num w:numId="11">
    <w:abstractNumId w:val="7"/>
  </w:num>
  <w:num w:numId="12">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6"/>
  <w:hideSpellingErrors/>
  <w:hideGrammaticalErrors/>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5F91"/>
    <w:rsid w:val="00006331"/>
    <w:rsid w:val="0001150D"/>
    <w:rsid w:val="00011D50"/>
    <w:rsid w:val="00014084"/>
    <w:rsid w:val="0001696D"/>
    <w:rsid w:val="00017BFC"/>
    <w:rsid w:val="00020530"/>
    <w:rsid w:val="000230FE"/>
    <w:rsid w:val="000236AE"/>
    <w:rsid w:val="000244FD"/>
    <w:rsid w:val="000257CD"/>
    <w:rsid w:val="00027373"/>
    <w:rsid w:val="00036A46"/>
    <w:rsid w:val="000435E3"/>
    <w:rsid w:val="000436BF"/>
    <w:rsid w:val="000531BE"/>
    <w:rsid w:val="0006208D"/>
    <w:rsid w:val="00066095"/>
    <w:rsid w:val="00082780"/>
    <w:rsid w:val="000859D3"/>
    <w:rsid w:val="00085A91"/>
    <w:rsid w:val="00086205"/>
    <w:rsid w:val="00086214"/>
    <w:rsid w:val="00087C7E"/>
    <w:rsid w:val="000903B3"/>
    <w:rsid w:val="0009411C"/>
    <w:rsid w:val="00097F8C"/>
    <w:rsid w:val="000A2018"/>
    <w:rsid w:val="000A5688"/>
    <w:rsid w:val="000A6988"/>
    <w:rsid w:val="000B03A8"/>
    <w:rsid w:val="000B26E6"/>
    <w:rsid w:val="000B4702"/>
    <w:rsid w:val="000C04A6"/>
    <w:rsid w:val="000C115F"/>
    <w:rsid w:val="000C49F4"/>
    <w:rsid w:val="000C5AC9"/>
    <w:rsid w:val="000D5398"/>
    <w:rsid w:val="000D6CFF"/>
    <w:rsid w:val="000E2175"/>
    <w:rsid w:val="000E2530"/>
    <w:rsid w:val="000E3B97"/>
    <w:rsid w:val="000E4D77"/>
    <w:rsid w:val="000F0258"/>
    <w:rsid w:val="000F0BC2"/>
    <w:rsid w:val="001055B8"/>
    <w:rsid w:val="001078C6"/>
    <w:rsid w:val="00111C1D"/>
    <w:rsid w:val="0011236A"/>
    <w:rsid w:val="001134CE"/>
    <w:rsid w:val="001177F7"/>
    <w:rsid w:val="00120437"/>
    <w:rsid w:val="00120BF9"/>
    <w:rsid w:val="001241C0"/>
    <w:rsid w:val="001326EA"/>
    <w:rsid w:val="00135898"/>
    <w:rsid w:val="0014222D"/>
    <w:rsid w:val="00150467"/>
    <w:rsid w:val="00161553"/>
    <w:rsid w:val="00162353"/>
    <w:rsid w:val="00162ECB"/>
    <w:rsid w:val="001704EF"/>
    <w:rsid w:val="00173C5D"/>
    <w:rsid w:val="00174046"/>
    <w:rsid w:val="0019016F"/>
    <w:rsid w:val="00190958"/>
    <w:rsid w:val="001922A5"/>
    <w:rsid w:val="001932B9"/>
    <w:rsid w:val="0019427C"/>
    <w:rsid w:val="001962F3"/>
    <w:rsid w:val="00196C9A"/>
    <w:rsid w:val="001A7BEB"/>
    <w:rsid w:val="001B0063"/>
    <w:rsid w:val="001B0A17"/>
    <w:rsid w:val="001B6913"/>
    <w:rsid w:val="001C16BF"/>
    <w:rsid w:val="001C17AD"/>
    <w:rsid w:val="001C4D5E"/>
    <w:rsid w:val="001C5FF1"/>
    <w:rsid w:val="001D13CE"/>
    <w:rsid w:val="001E255C"/>
    <w:rsid w:val="001F363E"/>
    <w:rsid w:val="001F3D5F"/>
    <w:rsid w:val="001F5CF0"/>
    <w:rsid w:val="00201DD7"/>
    <w:rsid w:val="00202C82"/>
    <w:rsid w:val="0020350D"/>
    <w:rsid w:val="00206829"/>
    <w:rsid w:val="0021204B"/>
    <w:rsid w:val="00215DFF"/>
    <w:rsid w:val="00217656"/>
    <w:rsid w:val="002231D5"/>
    <w:rsid w:val="002276BD"/>
    <w:rsid w:val="00231069"/>
    <w:rsid w:val="002324F1"/>
    <w:rsid w:val="002359C5"/>
    <w:rsid w:val="00240130"/>
    <w:rsid w:val="00243179"/>
    <w:rsid w:val="00244A17"/>
    <w:rsid w:val="002462C4"/>
    <w:rsid w:val="00250C72"/>
    <w:rsid w:val="00251EDD"/>
    <w:rsid w:val="00257B20"/>
    <w:rsid w:val="00257EE4"/>
    <w:rsid w:val="0026069A"/>
    <w:rsid w:val="002609CD"/>
    <w:rsid w:val="00270A5C"/>
    <w:rsid w:val="002722E1"/>
    <w:rsid w:val="00284F17"/>
    <w:rsid w:val="0029121F"/>
    <w:rsid w:val="00292D48"/>
    <w:rsid w:val="0029679A"/>
    <w:rsid w:val="002A6C61"/>
    <w:rsid w:val="002B29E2"/>
    <w:rsid w:val="002B3972"/>
    <w:rsid w:val="002B5528"/>
    <w:rsid w:val="002C23CD"/>
    <w:rsid w:val="002C7F12"/>
    <w:rsid w:val="002D28B2"/>
    <w:rsid w:val="002D2E1B"/>
    <w:rsid w:val="002D4337"/>
    <w:rsid w:val="002D5BD9"/>
    <w:rsid w:val="002D612D"/>
    <w:rsid w:val="002D62D2"/>
    <w:rsid w:val="002D7BA2"/>
    <w:rsid w:val="002E0CE7"/>
    <w:rsid w:val="002E4E05"/>
    <w:rsid w:val="002F16A5"/>
    <w:rsid w:val="002F5BDD"/>
    <w:rsid w:val="00302DEB"/>
    <w:rsid w:val="00306760"/>
    <w:rsid w:val="0031219F"/>
    <w:rsid w:val="00315C33"/>
    <w:rsid w:val="00320B4F"/>
    <w:rsid w:val="0032614F"/>
    <w:rsid w:val="00333820"/>
    <w:rsid w:val="003352FA"/>
    <w:rsid w:val="003373A1"/>
    <w:rsid w:val="0034038F"/>
    <w:rsid w:val="0034337B"/>
    <w:rsid w:val="00343A9D"/>
    <w:rsid w:val="0034455E"/>
    <w:rsid w:val="00345F26"/>
    <w:rsid w:val="003554F3"/>
    <w:rsid w:val="003579B3"/>
    <w:rsid w:val="00361680"/>
    <w:rsid w:val="003717C9"/>
    <w:rsid w:val="0038247D"/>
    <w:rsid w:val="003845B8"/>
    <w:rsid w:val="003856A6"/>
    <w:rsid w:val="003A4477"/>
    <w:rsid w:val="003B21CB"/>
    <w:rsid w:val="003B662A"/>
    <w:rsid w:val="003C31F9"/>
    <w:rsid w:val="003C33BF"/>
    <w:rsid w:val="003C5304"/>
    <w:rsid w:val="003F2704"/>
    <w:rsid w:val="003F52EF"/>
    <w:rsid w:val="003F76F5"/>
    <w:rsid w:val="0040058F"/>
    <w:rsid w:val="004005BB"/>
    <w:rsid w:val="0040160C"/>
    <w:rsid w:val="00402DC3"/>
    <w:rsid w:val="00410A50"/>
    <w:rsid w:val="00411BFE"/>
    <w:rsid w:val="00414C2C"/>
    <w:rsid w:val="00420FBF"/>
    <w:rsid w:val="00425B31"/>
    <w:rsid w:val="00427BA3"/>
    <w:rsid w:val="004338D8"/>
    <w:rsid w:val="00433A8A"/>
    <w:rsid w:val="00436FA2"/>
    <w:rsid w:val="00437087"/>
    <w:rsid w:val="0044093D"/>
    <w:rsid w:val="00442319"/>
    <w:rsid w:val="0044245F"/>
    <w:rsid w:val="00443A85"/>
    <w:rsid w:val="00444D26"/>
    <w:rsid w:val="00446DDC"/>
    <w:rsid w:val="00461CCB"/>
    <w:rsid w:val="00461DE9"/>
    <w:rsid w:val="00462144"/>
    <w:rsid w:val="00467909"/>
    <w:rsid w:val="00473B1F"/>
    <w:rsid w:val="0047528A"/>
    <w:rsid w:val="00483B4A"/>
    <w:rsid w:val="0048756B"/>
    <w:rsid w:val="00493585"/>
    <w:rsid w:val="00493E97"/>
    <w:rsid w:val="00494AD7"/>
    <w:rsid w:val="00494BE6"/>
    <w:rsid w:val="004A2BDD"/>
    <w:rsid w:val="004B0F70"/>
    <w:rsid w:val="004B1905"/>
    <w:rsid w:val="004B4C2E"/>
    <w:rsid w:val="004C0A42"/>
    <w:rsid w:val="004C1110"/>
    <w:rsid w:val="004C46F8"/>
    <w:rsid w:val="004D3DB4"/>
    <w:rsid w:val="004D4C4F"/>
    <w:rsid w:val="004E25B5"/>
    <w:rsid w:val="004E4E49"/>
    <w:rsid w:val="004E7308"/>
    <w:rsid w:val="004F1B0E"/>
    <w:rsid w:val="004F4673"/>
    <w:rsid w:val="004F6279"/>
    <w:rsid w:val="00502C03"/>
    <w:rsid w:val="00503503"/>
    <w:rsid w:val="00503E80"/>
    <w:rsid w:val="0051009E"/>
    <w:rsid w:val="0051127A"/>
    <w:rsid w:val="00520740"/>
    <w:rsid w:val="005259C2"/>
    <w:rsid w:val="005268F9"/>
    <w:rsid w:val="00533249"/>
    <w:rsid w:val="0053469F"/>
    <w:rsid w:val="00535ACC"/>
    <w:rsid w:val="00541794"/>
    <w:rsid w:val="00542022"/>
    <w:rsid w:val="005423A0"/>
    <w:rsid w:val="00546612"/>
    <w:rsid w:val="00552CB6"/>
    <w:rsid w:val="00554076"/>
    <w:rsid w:val="005578E9"/>
    <w:rsid w:val="00560311"/>
    <w:rsid w:val="005625AE"/>
    <w:rsid w:val="005727FF"/>
    <w:rsid w:val="005764B9"/>
    <w:rsid w:val="00577316"/>
    <w:rsid w:val="00577614"/>
    <w:rsid w:val="00587D88"/>
    <w:rsid w:val="00591388"/>
    <w:rsid w:val="00592F33"/>
    <w:rsid w:val="00594755"/>
    <w:rsid w:val="005978B0"/>
    <w:rsid w:val="005A2C91"/>
    <w:rsid w:val="005A637F"/>
    <w:rsid w:val="005A7823"/>
    <w:rsid w:val="005B3465"/>
    <w:rsid w:val="005C4290"/>
    <w:rsid w:val="005C7BE9"/>
    <w:rsid w:val="005C7F13"/>
    <w:rsid w:val="005D1427"/>
    <w:rsid w:val="005D309A"/>
    <w:rsid w:val="005D343C"/>
    <w:rsid w:val="005D573F"/>
    <w:rsid w:val="005E2162"/>
    <w:rsid w:val="005E3241"/>
    <w:rsid w:val="005E6276"/>
    <w:rsid w:val="005E7BB4"/>
    <w:rsid w:val="005F11DE"/>
    <w:rsid w:val="005F21DB"/>
    <w:rsid w:val="005F3BD0"/>
    <w:rsid w:val="005F6799"/>
    <w:rsid w:val="005F7F83"/>
    <w:rsid w:val="00600782"/>
    <w:rsid w:val="0060561B"/>
    <w:rsid w:val="00605654"/>
    <w:rsid w:val="006105BF"/>
    <w:rsid w:val="006131D4"/>
    <w:rsid w:val="00616D8C"/>
    <w:rsid w:val="00621317"/>
    <w:rsid w:val="00623324"/>
    <w:rsid w:val="00635557"/>
    <w:rsid w:val="00640D67"/>
    <w:rsid w:val="006441FB"/>
    <w:rsid w:val="00644745"/>
    <w:rsid w:val="006551C3"/>
    <w:rsid w:val="006614C4"/>
    <w:rsid w:val="0066489B"/>
    <w:rsid w:val="00671F13"/>
    <w:rsid w:val="006839EF"/>
    <w:rsid w:val="00683BF7"/>
    <w:rsid w:val="00691291"/>
    <w:rsid w:val="00694BF6"/>
    <w:rsid w:val="006A7FD8"/>
    <w:rsid w:val="006B5A19"/>
    <w:rsid w:val="006C111F"/>
    <w:rsid w:val="006C2A78"/>
    <w:rsid w:val="006C5883"/>
    <w:rsid w:val="006C62B3"/>
    <w:rsid w:val="006C7329"/>
    <w:rsid w:val="006D3994"/>
    <w:rsid w:val="006D4827"/>
    <w:rsid w:val="006D7F87"/>
    <w:rsid w:val="006E0DC6"/>
    <w:rsid w:val="006E5DB8"/>
    <w:rsid w:val="006E736E"/>
    <w:rsid w:val="006F390A"/>
    <w:rsid w:val="006F7C61"/>
    <w:rsid w:val="006F7F21"/>
    <w:rsid w:val="006F7F28"/>
    <w:rsid w:val="007118EF"/>
    <w:rsid w:val="00712369"/>
    <w:rsid w:val="00720515"/>
    <w:rsid w:val="00720753"/>
    <w:rsid w:val="0072416E"/>
    <w:rsid w:val="00731365"/>
    <w:rsid w:val="007409F8"/>
    <w:rsid w:val="00742403"/>
    <w:rsid w:val="0074339E"/>
    <w:rsid w:val="00744F29"/>
    <w:rsid w:val="00747600"/>
    <w:rsid w:val="00754AED"/>
    <w:rsid w:val="007550D6"/>
    <w:rsid w:val="00755C98"/>
    <w:rsid w:val="007627FF"/>
    <w:rsid w:val="0077104D"/>
    <w:rsid w:val="007715DC"/>
    <w:rsid w:val="00783F5A"/>
    <w:rsid w:val="00786659"/>
    <w:rsid w:val="0079049A"/>
    <w:rsid w:val="007B6642"/>
    <w:rsid w:val="007B7964"/>
    <w:rsid w:val="007C5FD5"/>
    <w:rsid w:val="007C78E6"/>
    <w:rsid w:val="007D1DE2"/>
    <w:rsid w:val="007D7E4D"/>
    <w:rsid w:val="007E072C"/>
    <w:rsid w:val="007E3D6B"/>
    <w:rsid w:val="007E3FBE"/>
    <w:rsid w:val="007E7EFA"/>
    <w:rsid w:val="007F0D2E"/>
    <w:rsid w:val="007F123B"/>
    <w:rsid w:val="00803FA5"/>
    <w:rsid w:val="00806A11"/>
    <w:rsid w:val="00806D88"/>
    <w:rsid w:val="00806F5C"/>
    <w:rsid w:val="0080779A"/>
    <w:rsid w:val="00815307"/>
    <w:rsid w:val="0081692A"/>
    <w:rsid w:val="0082606C"/>
    <w:rsid w:val="008266D8"/>
    <w:rsid w:val="0083068A"/>
    <w:rsid w:val="00830D59"/>
    <w:rsid w:val="00831E54"/>
    <w:rsid w:val="00843825"/>
    <w:rsid w:val="00843930"/>
    <w:rsid w:val="008705D7"/>
    <w:rsid w:val="0087473D"/>
    <w:rsid w:val="00875DDB"/>
    <w:rsid w:val="008B20EC"/>
    <w:rsid w:val="008B391E"/>
    <w:rsid w:val="008B47EE"/>
    <w:rsid w:val="008B4ACC"/>
    <w:rsid w:val="008B53DB"/>
    <w:rsid w:val="008C3694"/>
    <w:rsid w:val="008C3A6E"/>
    <w:rsid w:val="008C47AB"/>
    <w:rsid w:val="008C49CC"/>
    <w:rsid w:val="008C7649"/>
    <w:rsid w:val="008C76D4"/>
    <w:rsid w:val="008D681C"/>
    <w:rsid w:val="008E325B"/>
    <w:rsid w:val="008E39B6"/>
    <w:rsid w:val="008E4704"/>
    <w:rsid w:val="008E5EDF"/>
    <w:rsid w:val="008E65F4"/>
    <w:rsid w:val="008F0492"/>
    <w:rsid w:val="008F04A6"/>
    <w:rsid w:val="008F330D"/>
    <w:rsid w:val="00902496"/>
    <w:rsid w:val="00905AF6"/>
    <w:rsid w:val="0091587B"/>
    <w:rsid w:val="00923EED"/>
    <w:rsid w:val="00926F00"/>
    <w:rsid w:val="009275C5"/>
    <w:rsid w:val="009277A2"/>
    <w:rsid w:val="00930467"/>
    <w:rsid w:val="00932B46"/>
    <w:rsid w:val="00933910"/>
    <w:rsid w:val="0093468E"/>
    <w:rsid w:val="00934C6A"/>
    <w:rsid w:val="0094169F"/>
    <w:rsid w:val="00942953"/>
    <w:rsid w:val="0094355C"/>
    <w:rsid w:val="009437F5"/>
    <w:rsid w:val="009566ED"/>
    <w:rsid w:val="009601F7"/>
    <w:rsid w:val="00960BDE"/>
    <w:rsid w:val="00962B7C"/>
    <w:rsid w:val="00967276"/>
    <w:rsid w:val="00967659"/>
    <w:rsid w:val="0097203E"/>
    <w:rsid w:val="0097282E"/>
    <w:rsid w:val="00973AB7"/>
    <w:rsid w:val="00977842"/>
    <w:rsid w:val="009831CA"/>
    <w:rsid w:val="00987124"/>
    <w:rsid w:val="00987D75"/>
    <w:rsid w:val="009906F5"/>
    <w:rsid w:val="00991336"/>
    <w:rsid w:val="00996753"/>
    <w:rsid w:val="009A0380"/>
    <w:rsid w:val="009A0DC9"/>
    <w:rsid w:val="009C0F9D"/>
    <w:rsid w:val="009C1B7C"/>
    <w:rsid w:val="009C569F"/>
    <w:rsid w:val="009C72C9"/>
    <w:rsid w:val="009C766E"/>
    <w:rsid w:val="009C7E62"/>
    <w:rsid w:val="009D1908"/>
    <w:rsid w:val="009D195E"/>
    <w:rsid w:val="009D29EF"/>
    <w:rsid w:val="009D471D"/>
    <w:rsid w:val="009E20AC"/>
    <w:rsid w:val="009E38F7"/>
    <w:rsid w:val="009E4132"/>
    <w:rsid w:val="009E510C"/>
    <w:rsid w:val="009E77FF"/>
    <w:rsid w:val="009F36EA"/>
    <w:rsid w:val="009F42AD"/>
    <w:rsid w:val="009F65B1"/>
    <w:rsid w:val="00A016AE"/>
    <w:rsid w:val="00A14EF6"/>
    <w:rsid w:val="00A2360D"/>
    <w:rsid w:val="00A252CF"/>
    <w:rsid w:val="00A31A30"/>
    <w:rsid w:val="00A32639"/>
    <w:rsid w:val="00A46BDF"/>
    <w:rsid w:val="00A47A08"/>
    <w:rsid w:val="00A66F7D"/>
    <w:rsid w:val="00A75909"/>
    <w:rsid w:val="00A82C0A"/>
    <w:rsid w:val="00A83310"/>
    <w:rsid w:val="00A83C2B"/>
    <w:rsid w:val="00A96F8A"/>
    <w:rsid w:val="00AA141D"/>
    <w:rsid w:val="00AA2B80"/>
    <w:rsid w:val="00AA6476"/>
    <w:rsid w:val="00AB0D1E"/>
    <w:rsid w:val="00AB7DA7"/>
    <w:rsid w:val="00AC0FA6"/>
    <w:rsid w:val="00AC2E7D"/>
    <w:rsid w:val="00AC47A1"/>
    <w:rsid w:val="00AD0BC3"/>
    <w:rsid w:val="00AD0ED5"/>
    <w:rsid w:val="00AD14B4"/>
    <w:rsid w:val="00AD51FD"/>
    <w:rsid w:val="00AD53EF"/>
    <w:rsid w:val="00AE26B5"/>
    <w:rsid w:val="00AE48C0"/>
    <w:rsid w:val="00AE74FC"/>
    <w:rsid w:val="00AE7675"/>
    <w:rsid w:val="00AF193C"/>
    <w:rsid w:val="00AF2D8B"/>
    <w:rsid w:val="00AF6BBD"/>
    <w:rsid w:val="00B00E0E"/>
    <w:rsid w:val="00B013DD"/>
    <w:rsid w:val="00B04347"/>
    <w:rsid w:val="00B169FD"/>
    <w:rsid w:val="00B17495"/>
    <w:rsid w:val="00B17894"/>
    <w:rsid w:val="00B20F41"/>
    <w:rsid w:val="00B24957"/>
    <w:rsid w:val="00B24AC2"/>
    <w:rsid w:val="00B25EBC"/>
    <w:rsid w:val="00B42D76"/>
    <w:rsid w:val="00B4663D"/>
    <w:rsid w:val="00B53294"/>
    <w:rsid w:val="00B53719"/>
    <w:rsid w:val="00B55FCB"/>
    <w:rsid w:val="00B70886"/>
    <w:rsid w:val="00B70D5C"/>
    <w:rsid w:val="00B71A96"/>
    <w:rsid w:val="00B83D13"/>
    <w:rsid w:val="00B90721"/>
    <w:rsid w:val="00B91365"/>
    <w:rsid w:val="00B9493F"/>
    <w:rsid w:val="00B94F3B"/>
    <w:rsid w:val="00B95F56"/>
    <w:rsid w:val="00BA289E"/>
    <w:rsid w:val="00BA30E8"/>
    <w:rsid w:val="00BA572B"/>
    <w:rsid w:val="00BB0020"/>
    <w:rsid w:val="00BC1CFA"/>
    <w:rsid w:val="00BC254F"/>
    <w:rsid w:val="00BC2FC9"/>
    <w:rsid w:val="00BC324F"/>
    <w:rsid w:val="00BC335B"/>
    <w:rsid w:val="00BC41BD"/>
    <w:rsid w:val="00BC5027"/>
    <w:rsid w:val="00BD281E"/>
    <w:rsid w:val="00BD4745"/>
    <w:rsid w:val="00BD56A3"/>
    <w:rsid w:val="00BE1A91"/>
    <w:rsid w:val="00BE25AC"/>
    <w:rsid w:val="00BE6486"/>
    <w:rsid w:val="00BE7264"/>
    <w:rsid w:val="00BF0E81"/>
    <w:rsid w:val="00BF1E2E"/>
    <w:rsid w:val="00BF7419"/>
    <w:rsid w:val="00C02B92"/>
    <w:rsid w:val="00C02CE4"/>
    <w:rsid w:val="00C037EE"/>
    <w:rsid w:val="00C04E27"/>
    <w:rsid w:val="00C05A5B"/>
    <w:rsid w:val="00C07CC6"/>
    <w:rsid w:val="00C07D09"/>
    <w:rsid w:val="00C15ADB"/>
    <w:rsid w:val="00C208DA"/>
    <w:rsid w:val="00C335C7"/>
    <w:rsid w:val="00C36292"/>
    <w:rsid w:val="00C412E9"/>
    <w:rsid w:val="00C43067"/>
    <w:rsid w:val="00C44463"/>
    <w:rsid w:val="00C52343"/>
    <w:rsid w:val="00C561AD"/>
    <w:rsid w:val="00C570BB"/>
    <w:rsid w:val="00C57CEB"/>
    <w:rsid w:val="00C636AF"/>
    <w:rsid w:val="00C63792"/>
    <w:rsid w:val="00C65D81"/>
    <w:rsid w:val="00C76CC7"/>
    <w:rsid w:val="00C7742C"/>
    <w:rsid w:val="00C7779B"/>
    <w:rsid w:val="00C8077F"/>
    <w:rsid w:val="00C80904"/>
    <w:rsid w:val="00C836A1"/>
    <w:rsid w:val="00C847A4"/>
    <w:rsid w:val="00C850B1"/>
    <w:rsid w:val="00C87F36"/>
    <w:rsid w:val="00C91069"/>
    <w:rsid w:val="00C93CF9"/>
    <w:rsid w:val="00C94A58"/>
    <w:rsid w:val="00CA0318"/>
    <w:rsid w:val="00CA0ED0"/>
    <w:rsid w:val="00CB2726"/>
    <w:rsid w:val="00CB4295"/>
    <w:rsid w:val="00CB65F1"/>
    <w:rsid w:val="00CC0709"/>
    <w:rsid w:val="00CC09A7"/>
    <w:rsid w:val="00CC4DF1"/>
    <w:rsid w:val="00CC4EFD"/>
    <w:rsid w:val="00CC7FFB"/>
    <w:rsid w:val="00CD1730"/>
    <w:rsid w:val="00CD24EA"/>
    <w:rsid w:val="00CD3647"/>
    <w:rsid w:val="00CD4882"/>
    <w:rsid w:val="00CE02D8"/>
    <w:rsid w:val="00CE30CE"/>
    <w:rsid w:val="00CE7BAC"/>
    <w:rsid w:val="00D056C2"/>
    <w:rsid w:val="00D06860"/>
    <w:rsid w:val="00D1431E"/>
    <w:rsid w:val="00D206CE"/>
    <w:rsid w:val="00D219AA"/>
    <w:rsid w:val="00D36FB3"/>
    <w:rsid w:val="00D42B2A"/>
    <w:rsid w:val="00D619A7"/>
    <w:rsid w:val="00D65638"/>
    <w:rsid w:val="00D77B32"/>
    <w:rsid w:val="00D832BF"/>
    <w:rsid w:val="00D94016"/>
    <w:rsid w:val="00D94DF7"/>
    <w:rsid w:val="00D9706F"/>
    <w:rsid w:val="00D97944"/>
    <w:rsid w:val="00DA0F52"/>
    <w:rsid w:val="00DA349A"/>
    <w:rsid w:val="00DA6263"/>
    <w:rsid w:val="00DB1D06"/>
    <w:rsid w:val="00DC23E8"/>
    <w:rsid w:val="00DC3DBE"/>
    <w:rsid w:val="00DC53B2"/>
    <w:rsid w:val="00DC5F91"/>
    <w:rsid w:val="00DD16E8"/>
    <w:rsid w:val="00DD3345"/>
    <w:rsid w:val="00DE1124"/>
    <w:rsid w:val="00DE1626"/>
    <w:rsid w:val="00DE658C"/>
    <w:rsid w:val="00DE78A7"/>
    <w:rsid w:val="00DF2ADC"/>
    <w:rsid w:val="00DF2BE0"/>
    <w:rsid w:val="00DF4386"/>
    <w:rsid w:val="00E00A4D"/>
    <w:rsid w:val="00E00B92"/>
    <w:rsid w:val="00E053AA"/>
    <w:rsid w:val="00E0705E"/>
    <w:rsid w:val="00E11388"/>
    <w:rsid w:val="00E13D59"/>
    <w:rsid w:val="00E1752C"/>
    <w:rsid w:val="00E17FE6"/>
    <w:rsid w:val="00E25C6A"/>
    <w:rsid w:val="00E26337"/>
    <w:rsid w:val="00E26555"/>
    <w:rsid w:val="00E2709D"/>
    <w:rsid w:val="00E279D7"/>
    <w:rsid w:val="00E32113"/>
    <w:rsid w:val="00E35138"/>
    <w:rsid w:val="00E3576B"/>
    <w:rsid w:val="00E443F5"/>
    <w:rsid w:val="00E44CDD"/>
    <w:rsid w:val="00E462A9"/>
    <w:rsid w:val="00E50B10"/>
    <w:rsid w:val="00E514D5"/>
    <w:rsid w:val="00E55FA9"/>
    <w:rsid w:val="00E61463"/>
    <w:rsid w:val="00E61F8D"/>
    <w:rsid w:val="00E66907"/>
    <w:rsid w:val="00E70346"/>
    <w:rsid w:val="00E71222"/>
    <w:rsid w:val="00E71F38"/>
    <w:rsid w:val="00E723CA"/>
    <w:rsid w:val="00E726AA"/>
    <w:rsid w:val="00E74194"/>
    <w:rsid w:val="00E77300"/>
    <w:rsid w:val="00E80481"/>
    <w:rsid w:val="00E80787"/>
    <w:rsid w:val="00E81602"/>
    <w:rsid w:val="00E84237"/>
    <w:rsid w:val="00E87F01"/>
    <w:rsid w:val="00E92F16"/>
    <w:rsid w:val="00E94093"/>
    <w:rsid w:val="00E96AA3"/>
    <w:rsid w:val="00E97D7D"/>
    <w:rsid w:val="00EB437E"/>
    <w:rsid w:val="00EC17E2"/>
    <w:rsid w:val="00EC1D96"/>
    <w:rsid w:val="00EC2BFD"/>
    <w:rsid w:val="00EC2C2A"/>
    <w:rsid w:val="00ED512E"/>
    <w:rsid w:val="00ED708D"/>
    <w:rsid w:val="00EE0A17"/>
    <w:rsid w:val="00EE3192"/>
    <w:rsid w:val="00EE429C"/>
    <w:rsid w:val="00EE4491"/>
    <w:rsid w:val="00EE5747"/>
    <w:rsid w:val="00EF0A21"/>
    <w:rsid w:val="00EF3846"/>
    <w:rsid w:val="00EF5E74"/>
    <w:rsid w:val="00EF5FB3"/>
    <w:rsid w:val="00EF6564"/>
    <w:rsid w:val="00F015ED"/>
    <w:rsid w:val="00F05ED5"/>
    <w:rsid w:val="00F17149"/>
    <w:rsid w:val="00F30CA8"/>
    <w:rsid w:val="00F32EDC"/>
    <w:rsid w:val="00F33950"/>
    <w:rsid w:val="00F344EB"/>
    <w:rsid w:val="00F37144"/>
    <w:rsid w:val="00F418AD"/>
    <w:rsid w:val="00F42EA9"/>
    <w:rsid w:val="00F44B02"/>
    <w:rsid w:val="00F469F2"/>
    <w:rsid w:val="00F500F1"/>
    <w:rsid w:val="00F52D1C"/>
    <w:rsid w:val="00F61BEE"/>
    <w:rsid w:val="00F63B3B"/>
    <w:rsid w:val="00F64DAC"/>
    <w:rsid w:val="00F666CB"/>
    <w:rsid w:val="00F67E89"/>
    <w:rsid w:val="00F77458"/>
    <w:rsid w:val="00F77506"/>
    <w:rsid w:val="00F868FB"/>
    <w:rsid w:val="00F86A9C"/>
    <w:rsid w:val="00F92698"/>
    <w:rsid w:val="00F928E2"/>
    <w:rsid w:val="00F97549"/>
    <w:rsid w:val="00FA0E2A"/>
    <w:rsid w:val="00FA6ACE"/>
    <w:rsid w:val="00FA78F4"/>
    <w:rsid w:val="00FB0CE4"/>
    <w:rsid w:val="00FB28C5"/>
    <w:rsid w:val="00FC01BF"/>
    <w:rsid w:val="00FC2217"/>
    <w:rsid w:val="00FC427B"/>
    <w:rsid w:val="00FC525C"/>
    <w:rsid w:val="00FD1274"/>
    <w:rsid w:val="00FD38A7"/>
    <w:rsid w:val="00FD553F"/>
    <w:rsid w:val="00FE0265"/>
    <w:rsid w:val="00FE0D25"/>
    <w:rsid w:val="00FE2889"/>
    <w:rsid w:val="00FE41DA"/>
    <w:rsid w:val="00FE69D8"/>
    <w:rsid w:val="00FF3C33"/>
    <w:rsid w:val="00FF7C7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chartTrackingRefBased/>
  <w15:docId w15:val="{60FB4B1B-01AB-4914-A97B-D9A2EBFB8E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5EDF"/>
    <w:pPr>
      <w:spacing w:after="0" w:line="240" w:lineRule="auto"/>
    </w:pPr>
    <w:rPr>
      <w:rFonts w:ascii="Calibri" w:eastAsiaTheme="minorEastAsia" w:hAnsi="Calibri" w:cs="Calibri"/>
      <w:sz w:val="24"/>
      <w:szCs w:val="24"/>
      <w:lang w:eastAsia="es-MX"/>
    </w:rPr>
  </w:style>
  <w:style w:type="paragraph" w:styleId="Ttulo1">
    <w:name w:val="heading 1"/>
    <w:basedOn w:val="Normal"/>
    <w:next w:val="Normal"/>
    <w:link w:val="Ttulo1Car"/>
    <w:uiPriority w:val="9"/>
    <w:qFormat/>
    <w:rsid w:val="00B70D5C"/>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011D50"/>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C5F91"/>
    <w:pPr>
      <w:tabs>
        <w:tab w:val="center" w:pos="4419"/>
        <w:tab w:val="right" w:pos="8838"/>
      </w:tabs>
    </w:pPr>
  </w:style>
  <w:style w:type="character" w:customStyle="1" w:styleId="EncabezadoCar">
    <w:name w:val="Encabezado Car"/>
    <w:basedOn w:val="Fuentedeprrafopredeter"/>
    <w:link w:val="Encabezado"/>
    <w:uiPriority w:val="99"/>
    <w:rsid w:val="00DC5F91"/>
  </w:style>
  <w:style w:type="paragraph" w:styleId="Piedepgina">
    <w:name w:val="footer"/>
    <w:basedOn w:val="Normal"/>
    <w:link w:val="PiedepginaCar"/>
    <w:uiPriority w:val="99"/>
    <w:unhideWhenUsed/>
    <w:rsid w:val="00DC5F91"/>
    <w:pPr>
      <w:tabs>
        <w:tab w:val="center" w:pos="4419"/>
        <w:tab w:val="right" w:pos="8838"/>
      </w:tabs>
    </w:pPr>
  </w:style>
  <w:style w:type="character" w:customStyle="1" w:styleId="PiedepginaCar">
    <w:name w:val="Pie de página Car"/>
    <w:basedOn w:val="Fuentedeprrafopredeter"/>
    <w:link w:val="Piedepgina"/>
    <w:uiPriority w:val="99"/>
    <w:rsid w:val="00DC5F91"/>
  </w:style>
  <w:style w:type="paragraph" w:styleId="Prrafodelista">
    <w:name w:val="List Paragraph"/>
    <w:aliases w:val="4 Párrafo de lista,Figuras,Dot pt,No Spacing1,List Paragraph Char Char Char,Indicator Text,List Paragraph1,Numbered Para 1,DH1,Listas,lp1,Light Grid - Accent 31,Párrafo Título 3"/>
    <w:basedOn w:val="Normal"/>
    <w:link w:val="PrrafodelistaCar"/>
    <w:uiPriority w:val="34"/>
    <w:qFormat/>
    <w:rsid w:val="00843930"/>
    <w:pPr>
      <w:ind w:left="720"/>
      <w:contextualSpacing/>
    </w:pPr>
  </w:style>
  <w:style w:type="table" w:styleId="Tablaconcuadrcula">
    <w:name w:val="Table Grid"/>
    <w:basedOn w:val="Tablanormal"/>
    <w:uiPriority w:val="39"/>
    <w:rsid w:val="006D48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4 Párrafo de lista Car,Figuras Car,Dot pt Car,No Spacing1 Car,List Paragraph Char Char Char Car,Indicator Text Car,List Paragraph1 Car,Numbered Para 1 Car,DH1 Car,Listas Car,lp1 Car,Light Grid - Accent 31 Car,Párrafo Título 3 Car"/>
    <w:basedOn w:val="Fuentedeprrafopredeter"/>
    <w:link w:val="Prrafodelista"/>
    <w:uiPriority w:val="34"/>
    <w:rsid w:val="001078C6"/>
    <w:rPr>
      <w:rFonts w:ascii="Calibri" w:eastAsiaTheme="minorEastAsia" w:hAnsi="Calibri" w:cs="Calibri"/>
      <w:sz w:val="24"/>
      <w:szCs w:val="24"/>
      <w:lang w:eastAsia="es-MX"/>
    </w:rPr>
  </w:style>
  <w:style w:type="character" w:customStyle="1" w:styleId="Ttulo1Car">
    <w:name w:val="Título 1 Car"/>
    <w:basedOn w:val="Fuentedeprrafopredeter"/>
    <w:link w:val="Ttulo1"/>
    <w:uiPriority w:val="9"/>
    <w:rsid w:val="00B70D5C"/>
    <w:rPr>
      <w:rFonts w:asciiTheme="majorHAnsi" w:eastAsiaTheme="majorEastAsia" w:hAnsiTheme="majorHAnsi" w:cstheme="majorBidi"/>
      <w:color w:val="2E74B5" w:themeColor="accent1" w:themeShade="BF"/>
      <w:sz w:val="32"/>
      <w:szCs w:val="32"/>
      <w:lang w:eastAsia="es-MX"/>
    </w:rPr>
  </w:style>
  <w:style w:type="character" w:customStyle="1" w:styleId="Ttulo2Car">
    <w:name w:val="Título 2 Car"/>
    <w:basedOn w:val="Fuentedeprrafopredeter"/>
    <w:link w:val="Ttulo2"/>
    <w:uiPriority w:val="9"/>
    <w:rsid w:val="00011D50"/>
    <w:rPr>
      <w:rFonts w:asciiTheme="majorHAnsi" w:eastAsiaTheme="majorEastAsia" w:hAnsiTheme="majorHAnsi" w:cstheme="majorBidi"/>
      <w:color w:val="2E74B5" w:themeColor="accent1" w:themeShade="BF"/>
      <w:sz w:val="26"/>
      <w:szCs w:val="26"/>
      <w:lang w:eastAsia="es-MX"/>
    </w:rPr>
  </w:style>
  <w:style w:type="paragraph" w:styleId="Textonotapie">
    <w:name w:val="footnote text"/>
    <w:basedOn w:val="Normal"/>
    <w:link w:val="TextonotapieCar"/>
    <w:uiPriority w:val="99"/>
    <w:unhideWhenUsed/>
    <w:qFormat/>
    <w:rsid w:val="00FA0E2A"/>
    <w:rPr>
      <w:sz w:val="20"/>
      <w:szCs w:val="20"/>
    </w:rPr>
  </w:style>
  <w:style w:type="character" w:customStyle="1" w:styleId="TextonotapieCar">
    <w:name w:val="Texto nota pie Car"/>
    <w:basedOn w:val="Fuentedeprrafopredeter"/>
    <w:link w:val="Textonotapie"/>
    <w:uiPriority w:val="99"/>
    <w:semiHidden/>
    <w:rsid w:val="00FA0E2A"/>
    <w:rPr>
      <w:rFonts w:ascii="Calibri" w:eastAsiaTheme="minorEastAsia" w:hAnsi="Calibri" w:cs="Calibri"/>
      <w:sz w:val="20"/>
      <w:szCs w:val="20"/>
      <w:lang w:eastAsia="es-MX"/>
    </w:rPr>
  </w:style>
  <w:style w:type="character" w:styleId="Refdenotaalpie">
    <w:name w:val="footnote reference"/>
    <w:basedOn w:val="Fuentedeprrafopredeter"/>
    <w:uiPriority w:val="99"/>
    <w:unhideWhenUsed/>
    <w:qFormat/>
    <w:rsid w:val="00FA0E2A"/>
    <w:rPr>
      <w:vertAlign w:val="superscript"/>
    </w:rPr>
  </w:style>
  <w:style w:type="paragraph" w:styleId="NormalWeb">
    <w:name w:val="Normal (Web)"/>
    <w:basedOn w:val="Normal"/>
    <w:uiPriority w:val="99"/>
    <w:unhideWhenUsed/>
    <w:rsid w:val="006551C3"/>
    <w:pPr>
      <w:spacing w:before="100" w:beforeAutospacing="1" w:after="100" w:afterAutospacing="1"/>
    </w:pPr>
    <w:rPr>
      <w:rFonts w:ascii="Times New Roman" w:hAnsi="Times New Roman" w:cs="Times New Roman"/>
    </w:rPr>
  </w:style>
  <w:style w:type="table" w:styleId="Tabladecuadrcula5oscura-nfasis5">
    <w:name w:val="Grid Table 5 Dark Accent 5"/>
    <w:basedOn w:val="Tablanormal"/>
    <w:uiPriority w:val="50"/>
    <w:rsid w:val="008D681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styleId="TDC1">
    <w:name w:val="toc 1"/>
    <w:basedOn w:val="Normal"/>
    <w:next w:val="Normal"/>
    <w:autoRedefine/>
    <w:uiPriority w:val="39"/>
    <w:unhideWhenUsed/>
    <w:rsid w:val="006F390A"/>
    <w:pPr>
      <w:spacing w:before="120" w:after="120"/>
    </w:pPr>
    <w:rPr>
      <w:rFonts w:asciiTheme="minorHAnsi" w:hAnsiTheme="minorHAnsi" w:cstheme="minorHAnsi"/>
      <w:b/>
      <w:bCs/>
      <w:caps/>
      <w:sz w:val="20"/>
      <w:szCs w:val="20"/>
    </w:rPr>
  </w:style>
  <w:style w:type="paragraph" w:styleId="TDC2">
    <w:name w:val="toc 2"/>
    <w:basedOn w:val="Normal"/>
    <w:next w:val="Normal"/>
    <w:autoRedefine/>
    <w:uiPriority w:val="39"/>
    <w:unhideWhenUsed/>
    <w:rsid w:val="006F390A"/>
    <w:pPr>
      <w:ind w:left="240"/>
    </w:pPr>
    <w:rPr>
      <w:rFonts w:asciiTheme="minorHAnsi" w:hAnsiTheme="minorHAnsi" w:cstheme="minorHAnsi"/>
      <w:smallCaps/>
      <w:sz w:val="20"/>
      <w:szCs w:val="20"/>
    </w:rPr>
  </w:style>
  <w:style w:type="paragraph" w:styleId="TDC3">
    <w:name w:val="toc 3"/>
    <w:basedOn w:val="Normal"/>
    <w:next w:val="Normal"/>
    <w:autoRedefine/>
    <w:uiPriority w:val="39"/>
    <w:unhideWhenUsed/>
    <w:rsid w:val="006F390A"/>
    <w:pPr>
      <w:ind w:left="480"/>
    </w:pPr>
    <w:rPr>
      <w:rFonts w:asciiTheme="minorHAnsi" w:hAnsiTheme="minorHAnsi" w:cstheme="minorHAnsi"/>
      <w:i/>
      <w:iCs/>
      <w:sz w:val="20"/>
      <w:szCs w:val="20"/>
    </w:rPr>
  </w:style>
  <w:style w:type="paragraph" w:styleId="TDC4">
    <w:name w:val="toc 4"/>
    <w:basedOn w:val="Normal"/>
    <w:next w:val="Normal"/>
    <w:autoRedefine/>
    <w:uiPriority w:val="39"/>
    <w:unhideWhenUsed/>
    <w:rsid w:val="006F390A"/>
    <w:pPr>
      <w:ind w:left="720"/>
    </w:pPr>
    <w:rPr>
      <w:rFonts w:asciiTheme="minorHAnsi" w:hAnsiTheme="minorHAnsi" w:cstheme="minorHAnsi"/>
      <w:sz w:val="18"/>
      <w:szCs w:val="18"/>
    </w:rPr>
  </w:style>
  <w:style w:type="paragraph" w:styleId="TDC5">
    <w:name w:val="toc 5"/>
    <w:basedOn w:val="Normal"/>
    <w:next w:val="Normal"/>
    <w:autoRedefine/>
    <w:uiPriority w:val="39"/>
    <w:unhideWhenUsed/>
    <w:rsid w:val="006F390A"/>
    <w:pPr>
      <w:ind w:left="960"/>
    </w:pPr>
    <w:rPr>
      <w:rFonts w:asciiTheme="minorHAnsi" w:hAnsiTheme="minorHAnsi" w:cstheme="minorHAnsi"/>
      <w:sz w:val="18"/>
      <w:szCs w:val="18"/>
    </w:rPr>
  </w:style>
  <w:style w:type="paragraph" w:styleId="TDC6">
    <w:name w:val="toc 6"/>
    <w:basedOn w:val="Normal"/>
    <w:next w:val="Normal"/>
    <w:autoRedefine/>
    <w:uiPriority w:val="39"/>
    <w:unhideWhenUsed/>
    <w:rsid w:val="006F390A"/>
    <w:pPr>
      <w:ind w:left="1200"/>
    </w:pPr>
    <w:rPr>
      <w:rFonts w:asciiTheme="minorHAnsi" w:hAnsiTheme="minorHAnsi" w:cstheme="minorHAnsi"/>
      <w:sz w:val="18"/>
      <w:szCs w:val="18"/>
    </w:rPr>
  </w:style>
  <w:style w:type="paragraph" w:styleId="TDC7">
    <w:name w:val="toc 7"/>
    <w:basedOn w:val="Normal"/>
    <w:next w:val="Normal"/>
    <w:autoRedefine/>
    <w:uiPriority w:val="39"/>
    <w:unhideWhenUsed/>
    <w:rsid w:val="006F390A"/>
    <w:pPr>
      <w:ind w:left="1440"/>
    </w:pPr>
    <w:rPr>
      <w:rFonts w:asciiTheme="minorHAnsi" w:hAnsiTheme="minorHAnsi" w:cstheme="minorHAnsi"/>
      <w:sz w:val="18"/>
      <w:szCs w:val="18"/>
    </w:rPr>
  </w:style>
  <w:style w:type="paragraph" w:styleId="TDC8">
    <w:name w:val="toc 8"/>
    <w:basedOn w:val="Normal"/>
    <w:next w:val="Normal"/>
    <w:autoRedefine/>
    <w:uiPriority w:val="39"/>
    <w:unhideWhenUsed/>
    <w:rsid w:val="006F390A"/>
    <w:pPr>
      <w:ind w:left="1680"/>
    </w:pPr>
    <w:rPr>
      <w:rFonts w:asciiTheme="minorHAnsi" w:hAnsiTheme="minorHAnsi" w:cstheme="minorHAnsi"/>
      <w:sz w:val="18"/>
      <w:szCs w:val="18"/>
    </w:rPr>
  </w:style>
  <w:style w:type="paragraph" w:styleId="TDC9">
    <w:name w:val="toc 9"/>
    <w:basedOn w:val="Normal"/>
    <w:next w:val="Normal"/>
    <w:autoRedefine/>
    <w:uiPriority w:val="39"/>
    <w:unhideWhenUsed/>
    <w:rsid w:val="006F390A"/>
    <w:pPr>
      <w:ind w:left="1920"/>
    </w:pPr>
    <w:rPr>
      <w:rFonts w:asciiTheme="minorHAnsi" w:hAnsiTheme="minorHAnsi" w:cstheme="minorHAnsi"/>
      <w:sz w:val="18"/>
      <w:szCs w:val="18"/>
    </w:rPr>
  </w:style>
  <w:style w:type="character" w:styleId="Hipervnculo">
    <w:name w:val="Hyperlink"/>
    <w:basedOn w:val="Fuentedeprrafopredeter"/>
    <w:uiPriority w:val="99"/>
    <w:unhideWhenUsed/>
    <w:rsid w:val="006F390A"/>
    <w:rPr>
      <w:color w:val="0563C1" w:themeColor="hyperlink"/>
      <w:u w:val="single"/>
    </w:rPr>
  </w:style>
  <w:style w:type="table" w:styleId="Tabladecuadrcula4-nfasis5">
    <w:name w:val="Grid Table 4 Accent 5"/>
    <w:basedOn w:val="Tablanormal"/>
    <w:uiPriority w:val="49"/>
    <w:rsid w:val="009831CA"/>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ocuadro">
    <w:name w:val="Texto cuadro"/>
    <w:basedOn w:val="Normal"/>
    <w:next w:val="Normal"/>
    <w:rsid w:val="005C4290"/>
    <w:pPr>
      <w:spacing w:before="20"/>
    </w:pPr>
    <w:rPr>
      <w:rFonts w:ascii="Soberana Sans" w:eastAsia="Times New Roman" w:hAnsi="Soberana Sans" w:cs="Times New Roman"/>
      <w:sz w:val="12"/>
      <w:szCs w:val="20"/>
      <w:lang w:val="es-ES" w:eastAsia="en-US"/>
    </w:rPr>
  </w:style>
  <w:style w:type="paragraph" w:customStyle="1" w:styleId="Textocuadroneg">
    <w:name w:val="Texto cuadro neg"/>
    <w:basedOn w:val="Normal"/>
    <w:next w:val="Normal"/>
    <w:qFormat/>
    <w:rsid w:val="005C4290"/>
    <w:pPr>
      <w:spacing w:before="20"/>
    </w:pPr>
    <w:rPr>
      <w:rFonts w:ascii="Soberana Sans" w:eastAsiaTheme="minorHAnsi" w:hAnsi="Soberana Sans" w:cstheme="minorBidi"/>
      <w:b/>
      <w:sz w:val="12"/>
      <w:szCs w:val="22"/>
      <w:lang w:val="es-ES" w:eastAsia="en-US"/>
    </w:rPr>
  </w:style>
  <w:style w:type="character" w:styleId="Refdecomentario">
    <w:name w:val="annotation reference"/>
    <w:uiPriority w:val="99"/>
    <w:qFormat/>
    <w:rsid w:val="001F5CF0"/>
    <w:rPr>
      <w:w w:val="100"/>
      <w:position w:val="-1"/>
      <w:sz w:val="16"/>
      <w:szCs w:val="16"/>
      <w:effect w:val="none"/>
      <w:vertAlign w:val="baseline"/>
      <w:cs w:val="0"/>
      <w:em w:val="none"/>
    </w:rPr>
  </w:style>
  <w:style w:type="paragraph" w:styleId="Textocomentario">
    <w:name w:val="annotation text"/>
    <w:basedOn w:val="Normal"/>
    <w:link w:val="TextocomentarioCar"/>
    <w:uiPriority w:val="99"/>
    <w:qFormat/>
    <w:rsid w:val="001F5CF0"/>
    <w:pPr>
      <w:suppressAutoHyphens/>
      <w:ind w:leftChars="-1" w:left="-1" w:hangingChars="1" w:hanging="1"/>
      <w:textDirection w:val="btLr"/>
      <w:textAlignment w:val="top"/>
      <w:outlineLvl w:val="0"/>
    </w:pPr>
    <w:rPr>
      <w:rFonts w:eastAsia="Calibri"/>
      <w:position w:val="-1"/>
      <w:sz w:val="20"/>
      <w:szCs w:val="20"/>
    </w:rPr>
  </w:style>
  <w:style w:type="character" w:customStyle="1" w:styleId="TextocomentarioCar">
    <w:name w:val="Texto comentario Car"/>
    <w:basedOn w:val="Fuentedeprrafopredeter"/>
    <w:link w:val="Textocomentario"/>
    <w:uiPriority w:val="99"/>
    <w:rsid w:val="001F5CF0"/>
    <w:rPr>
      <w:rFonts w:ascii="Calibri" w:eastAsia="Calibri" w:hAnsi="Calibri" w:cs="Calibri"/>
      <w:position w:val="-1"/>
      <w:sz w:val="20"/>
      <w:szCs w:val="20"/>
      <w:lang w:eastAsia="es-MX"/>
    </w:rPr>
  </w:style>
  <w:style w:type="paragraph" w:styleId="Textodeglobo">
    <w:name w:val="Balloon Text"/>
    <w:basedOn w:val="Normal"/>
    <w:link w:val="TextodegloboCar"/>
    <w:uiPriority w:val="99"/>
    <w:semiHidden/>
    <w:unhideWhenUsed/>
    <w:rsid w:val="006F7F21"/>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F7F21"/>
    <w:rPr>
      <w:rFonts w:ascii="Segoe UI" w:eastAsiaTheme="minorEastAsia" w:hAnsi="Segoe UI" w:cs="Segoe UI"/>
      <w:sz w:val="18"/>
      <w:szCs w:val="18"/>
      <w:lang w:eastAsia="es-MX"/>
    </w:rPr>
  </w:style>
  <w:style w:type="character" w:styleId="nfasis">
    <w:name w:val="Emphasis"/>
    <w:basedOn w:val="Fuentedeprrafopredeter"/>
    <w:uiPriority w:val="20"/>
    <w:qFormat/>
    <w:rsid w:val="00A2360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506366">
      <w:bodyDiv w:val="1"/>
      <w:marLeft w:val="0"/>
      <w:marRight w:val="0"/>
      <w:marTop w:val="0"/>
      <w:marBottom w:val="0"/>
      <w:divBdr>
        <w:top w:val="none" w:sz="0" w:space="0" w:color="auto"/>
        <w:left w:val="none" w:sz="0" w:space="0" w:color="auto"/>
        <w:bottom w:val="none" w:sz="0" w:space="0" w:color="auto"/>
        <w:right w:val="none" w:sz="0" w:space="0" w:color="auto"/>
      </w:divBdr>
    </w:div>
    <w:div w:id="110438834">
      <w:bodyDiv w:val="1"/>
      <w:marLeft w:val="0"/>
      <w:marRight w:val="0"/>
      <w:marTop w:val="0"/>
      <w:marBottom w:val="0"/>
      <w:divBdr>
        <w:top w:val="none" w:sz="0" w:space="0" w:color="auto"/>
        <w:left w:val="none" w:sz="0" w:space="0" w:color="auto"/>
        <w:bottom w:val="none" w:sz="0" w:space="0" w:color="auto"/>
        <w:right w:val="none" w:sz="0" w:space="0" w:color="auto"/>
      </w:divBdr>
    </w:div>
    <w:div w:id="171991808">
      <w:bodyDiv w:val="1"/>
      <w:marLeft w:val="0"/>
      <w:marRight w:val="0"/>
      <w:marTop w:val="0"/>
      <w:marBottom w:val="0"/>
      <w:divBdr>
        <w:top w:val="none" w:sz="0" w:space="0" w:color="auto"/>
        <w:left w:val="none" w:sz="0" w:space="0" w:color="auto"/>
        <w:bottom w:val="none" w:sz="0" w:space="0" w:color="auto"/>
        <w:right w:val="none" w:sz="0" w:space="0" w:color="auto"/>
      </w:divBdr>
    </w:div>
    <w:div w:id="484667825">
      <w:bodyDiv w:val="1"/>
      <w:marLeft w:val="0"/>
      <w:marRight w:val="0"/>
      <w:marTop w:val="0"/>
      <w:marBottom w:val="0"/>
      <w:divBdr>
        <w:top w:val="none" w:sz="0" w:space="0" w:color="auto"/>
        <w:left w:val="none" w:sz="0" w:space="0" w:color="auto"/>
        <w:bottom w:val="none" w:sz="0" w:space="0" w:color="auto"/>
        <w:right w:val="none" w:sz="0" w:space="0" w:color="auto"/>
      </w:divBdr>
    </w:div>
    <w:div w:id="490296006">
      <w:bodyDiv w:val="1"/>
      <w:marLeft w:val="0"/>
      <w:marRight w:val="0"/>
      <w:marTop w:val="0"/>
      <w:marBottom w:val="0"/>
      <w:divBdr>
        <w:top w:val="none" w:sz="0" w:space="0" w:color="auto"/>
        <w:left w:val="none" w:sz="0" w:space="0" w:color="auto"/>
        <w:bottom w:val="none" w:sz="0" w:space="0" w:color="auto"/>
        <w:right w:val="none" w:sz="0" w:space="0" w:color="auto"/>
      </w:divBdr>
    </w:div>
    <w:div w:id="530843007">
      <w:bodyDiv w:val="1"/>
      <w:marLeft w:val="0"/>
      <w:marRight w:val="0"/>
      <w:marTop w:val="0"/>
      <w:marBottom w:val="0"/>
      <w:divBdr>
        <w:top w:val="none" w:sz="0" w:space="0" w:color="auto"/>
        <w:left w:val="none" w:sz="0" w:space="0" w:color="auto"/>
        <w:bottom w:val="none" w:sz="0" w:space="0" w:color="auto"/>
        <w:right w:val="none" w:sz="0" w:space="0" w:color="auto"/>
      </w:divBdr>
    </w:div>
    <w:div w:id="575282509">
      <w:bodyDiv w:val="1"/>
      <w:marLeft w:val="0"/>
      <w:marRight w:val="0"/>
      <w:marTop w:val="0"/>
      <w:marBottom w:val="0"/>
      <w:divBdr>
        <w:top w:val="none" w:sz="0" w:space="0" w:color="auto"/>
        <w:left w:val="none" w:sz="0" w:space="0" w:color="auto"/>
        <w:bottom w:val="none" w:sz="0" w:space="0" w:color="auto"/>
        <w:right w:val="none" w:sz="0" w:space="0" w:color="auto"/>
      </w:divBdr>
    </w:div>
    <w:div w:id="861748729">
      <w:bodyDiv w:val="1"/>
      <w:marLeft w:val="0"/>
      <w:marRight w:val="0"/>
      <w:marTop w:val="0"/>
      <w:marBottom w:val="0"/>
      <w:divBdr>
        <w:top w:val="none" w:sz="0" w:space="0" w:color="auto"/>
        <w:left w:val="none" w:sz="0" w:space="0" w:color="auto"/>
        <w:bottom w:val="none" w:sz="0" w:space="0" w:color="auto"/>
        <w:right w:val="none" w:sz="0" w:space="0" w:color="auto"/>
      </w:divBdr>
    </w:div>
    <w:div w:id="870460557">
      <w:bodyDiv w:val="1"/>
      <w:marLeft w:val="0"/>
      <w:marRight w:val="0"/>
      <w:marTop w:val="0"/>
      <w:marBottom w:val="0"/>
      <w:divBdr>
        <w:top w:val="none" w:sz="0" w:space="0" w:color="auto"/>
        <w:left w:val="none" w:sz="0" w:space="0" w:color="auto"/>
        <w:bottom w:val="none" w:sz="0" w:space="0" w:color="auto"/>
        <w:right w:val="none" w:sz="0" w:space="0" w:color="auto"/>
      </w:divBdr>
    </w:div>
    <w:div w:id="1134255687">
      <w:bodyDiv w:val="1"/>
      <w:marLeft w:val="0"/>
      <w:marRight w:val="0"/>
      <w:marTop w:val="0"/>
      <w:marBottom w:val="0"/>
      <w:divBdr>
        <w:top w:val="none" w:sz="0" w:space="0" w:color="auto"/>
        <w:left w:val="none" w:sz="0" w:space="0" w:color="auto"/>
        <w:bottom w:val="none" w:sz="0" w:space="0" w:color="auto"/>
        <w:right w:val="none" w:sz="0" w:space="0" w:color="auto"/>
      </w:divBdr>
    </w:div>
    <w:div w:id="1220750555">
      <w:bodyDiv w:val="1"/>
      <w:marLeft w:val="0"/>
      <w:marRight w:val="0"/>
      <w:marTop w:val="0"/>
      <w:marBottom w:val="0"/>
      <w:divBdr>
        <w:top w:val="none" w:sz="0" w:space="0" w:color="auto"/>
        <w:left w:val="none" w:sz="0" w:space="0" w:color="auto"/>
        <w:bottom w:val="none" w:sz="0" w:space="0" w:color="auto"/>
        <w:right w:val="none" w:sz="0" w:space="0" w:color="auto"/>
      </w:divBdr>
    </w:div>
    <w:div w:id="1246066631">
      <w:bodyDiv w:val="1"/>
      <w:marLeft w:val="0"/>
      <w:marRight w:val="0"/>
      <w:marTop w:val="0"/>
      <w:marBottom w:val="0"/>
      <w:divBdr>
        <w:top w:val="none" w:sz="0" w:space="0" w:color="auto"/>
        <w:left w:val="none" w:sz="0" w:space="0" w:color="auto"/>
        <w:bottom w:val="none" w:sz="0" w:space="0" w:color="auto"/>
        <w:right w:val="none" w:sz="0" w:space="0" w:color="auto"/>
      </w:divBdr>
    </w:div>
    <w:div w:id="1353144754">
      <w:bodyDiv w:val="1"/>
      <w:marLeft w:val="0"/>
      <w:marRight w:val="0"/>
      <w:marTop w:val="0"/>
      <w:marBottom w:val="0"/>
      <w:divBdr>
        <w:top w:val="none" w:sz="0" w:space="0" w:color="auto"/>
        <w:left w:val="none" w:sz="0" w:space="0" w:color="auto"/>
        <w:bottom w:val="none" w:sz="0" w:space="0" w:color="auto"/>
        <w:right w:val="none" w:sz="0" w:space="0" w:color="auto"/>
      </w:divBdr>
    </w:div>
    <w:div w:id="1372804692">
      <w:bodyDiv w:val="1"/>
      <w:marLeft w:val="0"/>
      <w:marRight w:val="0"/>
      <w:marTop w:val="0"/>
      <w:marBottom w:val="0"/>
      <w:divBdr>
        <w:top w:val="none" w:sz="0" w:space="0" w:color="auto"/>
        <w:left w:val="none" w:sz="0" w:space="0" w:color="auto"/>
        <w:bottom w:val="none" w:sz="0" w:space="0" w:color="auto"/>
        <w:right w:val="none" w:sz="0" w:space="0" w:color="auto"/>
      </w:divBdr>
    </w:div>
    <w:div w:id="1523861894">
      <w:bodyDiv w:val="1"/>
      <w:marLeft w:val="0"/>
      <w:marRight w:val="0"/>
      <w:marTop w:val="0"/>
      <w:marBottom w:val="0"/>
      <w:divBdr>
        <w:top w:val="none" w:sz="0" w:space="0" w:color="auto"/>
        <w:left w:val="none" w:sz="0" w:space="0" w:color="auto"/>
        <w:bottom w:val="none" w:sz="0" w:space="0" w:color="auto"/>
        <w:right w:val="none" w:sz="0" w:space="0" w:color="auto"/>
      </w:divBdr>
    </w:div>
    <w:div w:id="1721512270">
      <w:bodyDiv w:val="1"/>
      <w:marLeft w:val="0"/>
      <w:marRight w:val="0"/>
      <w:marTop w:val="0"/>
      <w:marBottom w:val="0"/>
      <w:divBdr>
        <w:top w:val="none" w:sz="0" w:space="0" w:color="auto"/>
        <w:left w:val="none" w:sz="0" w:space="0" w:color="auto"/>
        <w:bottom w:val="none" w:sz="0" w:space="0" w:color="auto"/>
        <w:right w:val="none" w:sz="0" w:space="0" w:color="auto"/>
      </w:divBdr>
    </w:div>
    <w:div w:id="1805199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header" Target="header1.xml"/><Relationship Id="rId18" Type="http://schemas.openxmlformats.org/officeDocument/2006/relationships/image" Target="media/image8.png"/><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7.sv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2.xm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0.sv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header" Target="header6.xml"/><Relationship Id="rId10" Type="http://schemas.openxmlformats.org/officeDocument/2006/relationships/image" Target="media/image1.png"/><Relationship Id="rId19" Type="http://schemas.openxmlformats.org/officeDocument/2006/relationships/image" Target="media/image5.sv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header" Target="header5.xml"/><Relationship Id="rId30"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_rels/header4.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_rels/header6.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Users\ellieholo\Downloads\IHME-GBD_2019_DATA-d0c5bedf-1\IHME-GBD_2019_DATA-d0c5bedf-1.xls"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Users\ellieholo\Downloads\IHME-GBD_2019_DATA-d0c5bedf-1\IHME-GBD_2019_DATA-d0c5bedf-1.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Hoja3!$B$2</c:f>
              <c:strCache>
                <c:ptCount val="1"/>
                <c:pt idx="0">
                  <c:v>Tasas todo el año</c:v>
                </c:pt>
              </c:strCache>
            </c:strRef>
          </c:tx>
          <c:spPr>
            <a:ln w="28575" cap="rnd">
              <a:solidFill>
                <a:srgbClr val="C00000"/>
              </a:solidFill>
              <a:round/>
            </a:ln>
            <a:effectLst/>
          </c:spPr>
          <c:marker>
            <c:symbol val="circle"/>
            <c:size val="5"/>
            <c:spPr>
              <a:solidFill>
                <a:srgbClr val="C00000"/>
              </a:solidFill>
              <a:ln w="9525">
                <a:solidFill>
                  <a:srgbClr val="C0000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Hoja3!$A$3:$A$8</c:f>
              <c:strCache>
                <c:ptCount val="6"/>
                <c:pt idx="0">
                  <c:v>2018</c:v>
                </c:pt>
                <c:pt idx="1">
                  <c:v>2019</c:v>
                </c:pt>
                <c:pt idx="2">
                  <c:v>2020</c:v>
                </c:pt>
                <c:pt idx="3">
                  <c:v>2021</c:v>
                </c:pt>
                <c:pt idx="4">
                  <c:v>2022</c:v>
                </c:pt>
                <c:pt idx="5">
                  <c:v>2023p</c:v>
                </c:pt>
              </c:strCache>
            </c:strRef>
          </c:cat>
          <c:val>
            <c:numRef>
              <c:f>Hoja3!$B$3:$B$8</c:f>
              <c:numCache>
                <c:formatCode>General</c:formatCode>
                <c:ptCount val="6"/>
                <c:pt idx="0">
                  <c:v>573.52</c:v>
                </c:pt>
                <c:pt idx="1">
                  <c:v>587.80999999999995</c:v>
                </c:pt>
                <c:pt idx="2">
                  <c:v>859.85</c:v>
                </c:pt>
                <c:pt idx="3">
                  <c:v>879.33</c:v>
                </c:pt>
                <c:pt idx="4">
                  <c:v>658.85</c:v>
                </c:pt>
              </c:numCache>
            </c:numRef>
          </c:val>
          <c:smooth val="0"/>
          <c:extLst>
            <c:ext xmlns:c16="http://schemas.microsoft.com/office/drawing/2014/chart" uri="{C3380CC4-5D6E-409C-BE32-E72D297353CC}">
              <c16:uniqueId val="{00000000-5465-490E-BBB2-928013CBD836}"/>
            </c:ext>
          </c:extLst>
        </c:ser>
        <c:ser>
          <c:idx val="1"/>
          <c:order val="1"/>
          <c:tx>
            <c:strRef>
              <c:f>Hoja3!$C$2</c:f>
              <c:strCache>
                <c:ptCount val="1"/>
                <c:pt idx="0">
                  <c:v>Tasas de enero-septiembre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Hoja3!$A$3:$A$8</c:f>
              <c:strCache>
                <c:ptCount val="6"/>
                <c:pt idx="0">
                  <c:v>2018</c:v>
                </c:pt>
                <c:pt idx="1">
                  <c:v>2019</c:v>
                </c:pt>
                <c:pt idx="2">
                  <c:v>2020</c:v>
                </c:pt>
                <c:pt idx="3">
                  <c:v>2021</c:v>
                </c:pt>
                <c:pt idx="4">
                  <c:v>2022</c:v>
                </c:pt>
                <c:pt idx="5">
                  <c:v>2023p</c:v>
                </c:pt>
              </c:strCache>
            </c:strRef>
          </c:cat>
          <c:val>
            <c:numRef>
              <c:f>Hoja3!$C$3:$C$8</c:f>
              <c:numCache>
                <c:formatCode>General</c:formatCode>
                <c:ptCount val="6"/>
                <c:pt idx="0">
                  <c:v>424.77</c:v>
                </c:pt>
                <c:pt idx="1">
                  <c:v>438.52</c:v>
                </c:pt>
                <c:pt idx="2">
                  <c:v>616.33000000000004</c:v>
                </c:pt>
                <c:pt idx="3">
                  <c:v>695.9</c:v>
                </c:pt>
                <c:pt idx="4">
                  <c:v>501</c:v>
                </c:pt>
                <c:pt idx="5">
                  <c:v>456.52</c:v>
                </c:pt>
              </c:numCache>
            </c:numRef>
          </c:val>
          <c:smooth val="0"/>
          <c:extLst>
            <c:ext xmlns:c16="http://schemas.microsoft.com/office/drawing/2014/chart" uri="{C3380CC4-5D6E-409C-BE32-E72D297353CC}">
              <c16:uniqueId val="{00000001-5465-490E-BBB2-928013CBD836}"/>
            </c:ext>
          </c:extLst>
        </c:ser>
        <c:dLbls>
          <c:dLblPos val="t"/>
          <c:showLegendKey val="0"/>
          <c:showVal val="1"/>
          <c:showCatName val="0"/>
          <c:showSerName val="0"/>
          <c:showPercent val="0"/>
          <c:showBubbleSize val="0"/>
        </c:dLbls>
        <c:marker val="1"/>
        <c:smooth val="0"/>
        <c:axId val="845390880"/>
        <c:axId val="924508176"/>
      </c:lineChart>
      <c:catAx>
        <c:axId val="845390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4508176"/>
        <c:crosses val="autoZero"/>
        <c:auto val="1"/>
        <c:lblAlgn val="ctr"/>
        <c:lblOffset val="100"/>
        <c:noMultiLvlLbl val="0"/>
      </c:catAx>
      <c:valAx>
        <c:axId val="924508176"/>
        <c:scaling>
          <c:orientation val="minMax"/>
          <c:min val="3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MX"/>
                  <a:t>Tasas</a:t>
                </a:r>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45390880"/>
        <c:crosses val="autoZero"/>
        <c:crossBetween val="between"/>
        <c:majorUnit val="300"/>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Hoja3!$B$32</c:f>
              <c:strCache>
                <c:ptCount val="1"/>
                <c:pt idx="0">
                  <c:v>Mujer</c:v>
                </c:pt>
              </c:strCache>
            </c:strRef>
          </c:tx>
          <c:spPr>
            <a:solidFill>
              <a:srgbClr val="9A0003"/>
            </a:solidFill>
            <a:ln>
              <a:solidFill>
                <a:srgbClr val="9A0003"/>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Hoja3!$A$33:$A$39</c:f>
              <c:strCache>
                <c:ptCount val="7"/>
                <c:pt idx="0">
                  <c:v>Menores de 15 años</c:v>
                </c:pt>
                <c:pt idx="1">
                  <c:v>15-24 años</c:v>
                </c:pt>
                <c:pt idx="2">
                  <c:v>25-34 años</c:v>
                </c:pt>
                <c:pt idx="3">
                  <c:v>35-44 años</c:v>
                </c:pt>
                <c:pt idx="4">
                  <c:v>45-54 años</c:v>
                </c:pt>
                <c:pt idx="5">
                  <c:v>55-64 años</c:v>
                </c:pt>
                <c:pt idx="6">
                  <c:v>Mayores de 65 años</c:v>
                </c:pt>
              </c:strCache>
            </c:strRef>
          </c:cat>
          <c:val>
            <c:numRef>
              <c:f>Hoja3!$B$33:$B$39</c:f>
              <c:numCache>
                <c:formatCode>General</c:formatCode>
                <c:ptCount val="7"/>
                <c:pt idx="0">
                  <c:v>50</c:v>
                </c:pt>
                <c:pt idx="1">
                  <c:v>39</c:v>
                </c:pt>
                <c:pt idx="2">
                  <c:v>62</c:v>
                </c:pt>
                <c:pt idx="3">
                  <c:v>111</c:v>
                </c:pt>
                <c:pt idx="4">
                  <c:v>254</c:v>
                </c:pt>
                <c:pt idx="5">
                  <c:v>626</c:v>
                </c:pt>
                <c:pt idx="6">
                  <c:v>3055</c:v>
                </c:pt>
              </c:numCache>
            </c:numRef>
          </c:val>
          <c:extLst>
            <c:ext xmlns:c16="http://schemas.microsoft.com/office/drawing/2014/chart" uri="{C3380CC4-5D6E-409C-BE32-E72D297353CC}">
              <c16:uniqueId val="{00000000-5EBF-43E1-A964-78568515792D}"/>
            </c:ext>
          </c:extLst>
        </c:ser>
        <c:ser>
          <c:idx val="1"/>
          <c:order val="1"/>
          <c:tx>
            <c:strRef>
              <c:f>Hoja3!$C$32</c:f>
              <c:strCache>
                <c:ptCount val="1"/>
                <c:pt idx="0">
                  <c:v>Hombre</c:v>
                </c:pt>
              </c:strCache>
            </c:strRef>
          </c:tx>
          <c:spPr>
            <a:solidFill>
              <a:srgbClr val="26642E"/>
            </a:solidFill>
            <a:ln>
              <a:solidFill>
                <a:srgbClr val="26642E"/>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Hoja3!$A$33:$A$39</c:f>
              <c:strCache>
                <c:ptCount val="7"/>
                <c:pt idx="0">
                  <c:v>Menores de 15 años</c:v>
                </c:pt>
                <c:pt idx="1">
                  <c:v>15-24 años</c:v>
                </c:pt>
                <c:pt idx="2">
                  <c:v>25-34 años</c:v>
                </c:pt>
                <c:pt idx="3">
                  <c:v>35-44 años</c:v>
                </c:pt>
                <c:pt idx="4">
                  <c:v>45-54 años</c:v>
                </c:pt>
                <c:pt idx="5">
                  <c:v>55-64 años</c:v>
                </c:pt>
                <c:pt idx="6">
                  <c:v>Mayores de 65 años</c:v>
                </c:pt>
              </c:strCache>
            </c:strRef>
          </c:cat>
          <c:val>
            <c:numRef>
              <c:f>Hoja3!$C$33:$C$39</c:f>
              <c:numCache>
                <c:formatCode>General</c:formatCode>
                <c:ptCount val="7"/>
                <c:pt idx="0">
                  <c:v>63</c:v>
                </c:pt>
                <c:pt idx="1">
                  <c:v>120</c:v>
                </c:pt>
                <c:pt idx="2">
                  <c:v>217</c:v>
                </c:pt>
                <c:pt idx="3">
                  <c:v>291</c:v>
                </c:pt>
                <c:pt idx="4">
                  <c:v>501</c:v>
                </c:pt>
                <c:pt idx="5">
                  <c:v>1002</c:v>
                </c:pt>
                <c:pt idx="6">
                  <c:v>3464</c:v>
                </c:pt>
              </c:numCache>
            </c:numRef>
          </c:val>
          <c:extLst>
            <c:ext xmlns:c16="http://schemas.microsoft.com/office/drawing/2014/chart" uri="{C3380CC4-5D6E-409C-BE32-E72D297353CC}">
              <c16:uniqueId val="{00000001-5EBF-43E1-A964-78568515792D}"/>
            </c:ext>
          </c:extLst>
        </c:ser>
        <c:dLbls>
          <c:showLegendKey val="0"/>
          <c:showVal val="0"/>
          <c:showCatName val="0"/>
          <c:showSerName val="0"/>
          <c:showPercent val="0"/>
          <c:showBubbleSize val="0"/>
        </c:dLbls>
        <c:gapWidth val="219"/>
        <c:overlap val="-27"/>
        <c:axId val="1327888448"/>
        <c:axId val="1327829920"/>
      </c:barChart>
      <c:catAx>
        <c:axId val="13278884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27829920"/>
        <c:crosses val="autoZero"/>
        <c:auto val="1"/>
        <c:lblAlgn val="ctr"/>
        <c:lblOffset val="100"/>
        <c:noMultiLvlLbl val="0"/>
      </c:catAx>
      <c:valAx>
        <c:axId val="13278299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MX"/>
                  <a:t>Tasas de defunciones</a:t>
                </a:r>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2788844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B6FDF2DB28C4606AB1FF3FCE8FCC5BD"/>
        <w:category>
          <w:name w:val="General"/>
          <w:gallery w:val="placeholder"/>
        </w:category>
        <w:types>
          <w:type w:val="bbPlcHdr"/>
        </w:types>
        <w:behaviors>
          <w:behavior w:val="content"/>
        </w:behaviors>
        <w:guid w:val="{52E6FA66-C049-4212-8561-95FF9784E62B}"/>
      </w:docPartPr>
      <w:docPartBody>
        <w:p w:rsidR="005C1891" w:rsidRDefault="005C1891" w:rsidP="005C1891">
          <w:pPr>
            <w:pStyle w:val="EB6FDF2DB28C4606AB1FF3FCE8FCC5BD"/>
          </w:pPr>
          <w:r w:rsidRPr="004C727C">
            <w:rPr>
              <w:rStyle w:val="Textodelmarcadordeposicin"/>
            </w:rPr>
            <w:t>Haz clic o pulse aquí para escribir texto.</w:t>
          </w:r>
        </w:p>
      </w:docPartBody>
    </w:docPart>
    <w:docPart>
      <w:docPartPr>
        <w:name w:val="6AC8175624F641829169446BDAD2836D"/>
        <w:category>
          <w:name w:val="General"/>
          <w:gallery w:val="placeholder"/>
        </w:category>
        <w:types>
          <w:type w:val="bbPlcHdr"/>
        </w:types>
        <w:behaviors>
          <w:behavior w:val="content"/>
        </w:behaviors>
        <w:guid w:val="{E5E89C6A-5334-454E-B0C9-3E179079FFF9}"/>
      </w:docPartPr>
      <w:docPartBody>
        <w:p w:rsidR="005C1891" w:rsidRDefault="005C1891" w:rsidP="005C1891">
          <w:pPr>
            <w:pStyle w:val="6AC8175624F641829169446BDAD2836D"/>
          </w:pPr>
          <w:r w:rsidRPr="004C727C">
            <w:rPr>
              <w:rStyle w:val="Textodelmarcadordeposicin"/>
            </w:rPr>
            <w:t>Haz clic o pulse aquí para escribir texto.</w:t>
          </w:r>
        </w:p>
      </w:docPartBody>
    </w:docPart>
    <w:docPart>
      <w:docPartPr>
        <w:name w:val="07838C6C1E85454BACD238817A1C0F6F"/>
        <w:category>
          <w:name w:val="General"/>
          <w:gallery w:val="placeholder"/>
        </w:category>
        <w:types>
          <w:type w:val="bbPlcHdr"/>
        </w:types>
        <w:behaviors>
          <w:behavior w:val="content"/>
        </w:behaviors>
        <w:guid w:val="{C5D1CFCE-FA0B-403C-89BB-2EAAD0D44820}"/>
      </w:docPartPr>
      <w:docPartBody>
        <w:p w:rsidR="005C1891" w:rsidRDefault="005C1891" w:rsidP="005C1891">
          <w:pPr>
            <w:pStyle w:val="07838C6C1E85454BACD238817A1C0F6F"/>
          </w:pPr>
          <w:r w:rsidRPr="002C43F1">
            <w:rPr>
              <w:rStyle w:val="Textodelmarcadordeposicin"/>
            </w:rPr>
            <w:t>Haga clic o pulse aquí para escribir texto.</w:t>
          </w:r>
        </w:p>
      </w:docPartBody>
    </w:docPart>
    <w:docPart>
      <w:docPartPr>
        <w:name w:val="CA0F531606524CAEA674CB98F7A4AE4B"/>
        <w:category>
          <w:name w:val="General"/>
          <w:gallery w:val="placeholder"/>
        </w:category>
        <w:types>
          <w:type w:val="bbPlcHdr"/>
        </w:types>
        <w:behaviors>
          <w:behavior w:val="content"/>
        </w:behaviors>
        <w:guid w:val="{4214C5D0-912F-4785-AE36-3BB770BD1FB1}"/>
      </w:docPartPr>
      <w:docPartBody>
        <w:p w:rsidR="005C1891" w:rsidRDefault="005C1891" w:rsidP="005C1891">
          <w:pPr>
            <w:pStyle w:val="CA0F531606524CAEA674CB98F7A4AE4B"/>
          </w:pPr>
          <w:r w:rsidRPr="004C727C">
            <w:rPr>
              <w:rStyle w:val="Textodelmarcadordeposicin"/>
            </w:rPr>
            <w:t>Haz clic o pulse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w:altName w:val="Bahnschrift Light"/>
    <w:panose1 w:val="020B0502040504020204"/>
    <w:charset w:val="00"/>
    <w:family w:val="swiss"/>
    <w:pitch w:val="variable"/>
    <w:sig w:usb0="E00082FF" w:usb1="400078FF" w:usb2="08000029"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oberana Sans">
    <w:altName w:val="Times New Roman"/>
    <w:panose1 w:val="00000000000000000000"/>
    <w:charset w:val="00"/>
    <w:family w:val="modern"/>
    <w:notTrueType/>
    <w:pitch w:val="variable"/>
    <w:sig w:usb0="800000AF" w:usb1="4000204B" w:usb2="00000000" w:usb3="00000000" w:csb0="00000001"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3AA8"/>
    <w:rsid w:val="000C2E5D"/>
    <w:rsid w:val="00257EE4"/>
    <w:rsid w:val="00516350"/>
    <w:rsid w:val="005A51ED"/>
    <w:rsid w:val="005C1891"/>
    <w:rsid w:val="00862BF3"/>
    <w:rsid w:val="00AD3565"/>
    <w:rsid w:val="00AF31D2"/>
    <w:rsid w:val="00CC3AA8"/>
    <w:rsid w:val="00E3418E"/>
    <w:rsid w:val="00E72112"/>
    <w:rsid w:val="00F418AD"/>
    <w:rsid w:val="00F610F8"/>
    <w:rsid w:val="00FD052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rsid w:val="005C1891"/>
    <w:rPr>
      <w:color w:val="808080"/>
    </w:rPr>
  </w:style>
  <w:style w:type="paragraph" w:customStyle="1" w:styleId="5D5823F43E4B4B9CA64EE9E962475582">
    <w:name w:val="5D5823F43E4B4B9CA64EE9E962475582"/>
    <w:rsid w:val="00CC3AA8"/>
  </w:style>
  <w:style w:type="paragraph" w:customStyle="1" w:styleId="4D243E76CB1F437FB49D1335634AB2A1">
    <w:name w:val="4D243E76CB1F437FB49D1335634AB2A1"/>
    <w:rsid w:val="00CC3AA8"/>
  </w:style>
  <w:style w:type="paragraph" w:customStyle="1" w:styleId="DA1727C14DFA4C6999CDBEEB30ADE638">
    <w:name w:val="DA1727C14DFA4C6999CDBEEB30ADE638"/>
    <w:rsid w:val="00CC3AA8"/>
  </w:style>
  <w:style w:type="paragraph" w:customStyle="1" w:styleId="5D959FC578BA41FCA9889A688ABAE71D">
    <w:name w:val="5D959FC578BA41FCA9889A688ABAE71D"/>
    <w:rsid w:val="00CC3AA8"/>
  </w:style>
  <w:style w:type="paragraph" w:customStyle="1" w:styleId="EB6FDF2DB28C4606AB1FF3FCE8FCC5BD">
    <w:name w:val="EB6FDF2DB28C4606AB1FF3FCE8FCC5BD"/>
    <w:rsid w:val="005C1891"/>
    <w:pPr>
      <w:spacing w:line="259" w:lineRule="auto"/>
    </w:pPr>
    <w:rPr>
      <w:kern w:val="0"/>
      <w:sz w:val="22"/>
      <w:szCs w:val="22"/>
      <w:lang w:val="en-US" w:eastAsia="en-US"/>
      <w14:ligatures w14:val="none"/>
    </w:rPr>
  </w:style>
  <w:style w:type="paragraph" w:customStyle="1" w:styleId="6AC8175624F641829169446BDAD2836D">
    <w:name w:val="6AC8175624F641829169446BDAD2836D"/>
    <w:rsid w:val="005C1891"/>
    <w:pPr>
      <w:spacing w:line="259" w:lineRule="auto"/>
    </w:pPr>
    <w:rPr>
      <w:kern w:val="0"/>
      <w:sz w:val="22"/>
      <w:szCs w:val="22"/>
      <w:lang w:val="en-US" w:eastAsia="en-US"/>
      <w14:ligatures w14:val="none"/>
    </w:rPr>
  </w:style>
  <w:style w:type="paragraph" w:customStyle="1" w:styleId="07838C6C1E85454BACD238817A1C0F6F">
    <w:name w:val="07838C6C1E85454BACD238817A1C0F6F"/>
    <w:rsid w:val="005C1891"/>
    <w:pPr>
      <w:spacing w:line="259" w:lineRule="auto"/>
    </w:pPr>
    <w:rPr>
      <w:kern w:val="0"/>
      <w:sz w:val="22"/>
      <w:szCs w:val="22"/>
      <w:lang w:val="en-US" w:eastAsia="en-US"/>
      <w14:ligatures w14:val="none"/>
    </w:rPr>
  </w:style>
  <w:style w:type="paragraph" w:customStyle="1" w:styleId="CA0F531606524CAEA674CB98F7A4AE4B">
    <w:name w:val="CA0F531606524CAEA674CB98F7A4AE4B"/>
    <w:rsid w:val="005C1891"/>
    <w:pPr>
      <w:spacing w:line="259" w:lineRule="auto"/>
    </w:pPr>
    <w:rPr>
      <w:kern w:val="0"/>
      <w:sz w:val="22"/>
      <w:szCs w:val="22"/>
      <w:lang w:val="en-US" w:eastAsia="en-US"/>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491A02-1FEF-419B-9C2D-55D577D2E4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564</TotalTime>
  <Pages>66</Pages>
  <Words>17134</Words>
  <Characters>97667</Characters>
  <Application>Microsoft Office Word</Application>
  <DocSecurity>0</DocSecurity>
  <Lines>813</Lines>
  <Paragraphs>229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114572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UED Alma Rita Lira Montes</dc:creator>
  <cp:keywords/>
  <dc:description/>
  <cp:lastModifiedBy>AdminSALUD</cp:lastModifiedBy>
  <cp:revision>34</cp:revision>
  <dcterms:created xsi:type="dcterms:W3CDTF">2025-07-10T23:45:00Z</dcterms:created>
  <dcterms:modified xsi:type="dcterms:W3CDTF">2025-07-25T01:25:00Z</dcterms:modified>
</cp:coreProperties>
</file>